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29" w:rsidRPr="004A41F8" w:rsidRDefault="009A6629" w:rsidP="009F765D">
      <w:pPr>
        <w:spacing w:line="360" w:lineRule="auto"/>
        <w:rPr>
          <w:rFonts w:ascii="Cambria" w:hAnsi="Cambria"/>
          <w:lang w:val="sr-Cyrl-BA"/>
        </w:rPr>
      </w:pPr>
    </w:p>
    <w:p w:rsidR="00930BAE" w:rsidRPr="00677FAC" w:rsidRDefault="00B75BFF" w:rsidP="009F765D">
      <w:pPr>
        <w:spacing w:line="360" w:lineRule="auto"/>
        <w:jc w:val="both"/>
        <w:rPr>
          <w:rFonts w:ascii="Cambria" w:hAnsi="Cambria"/>
          <w:b/>
          <w:bCs/>
          <w:lang w:val="sr-Cyrl-BA"/>
        </w:rPr>
      </w:pPr>
      <w:bookmarkStart w:id="0" w:name="_Toc438565162"/>
      <w:r>
        <w:rPr>
          <w:rFonts w:ascii="Cambria" w:hAnsi="Cambria"/>
          <w:b/>
          <w:bCs/>
          <w:lang w:val="sr-Cyrl-BA"/>
        </w:rPr>
        <w:t>03-02-4</w:t>
      </w:r>
      <w:r w:rsidR="00043C21">
        <w:rPr>
          <w:rFonts w:ascii="Cambria" w:hAnsi="Cambria"/>
          <w:b/>
          <w:bCs/>
          <w:lang w:val="sr-Latn-CS"/>
        </w:rPr>
        <w:t>-</w:t>
      </w:r>
      <w:r w:rsidR="00D1695D">
        <w:rPr>
          <w:rFonts w:ascii="Cambria" w:hAnsi="Cambria"/>
          <w:b/>
          <w:bCs/>
          <w:lang w:val="sr-Cyrl-BA"/>
        </w:rPr>
        <w:t>3034</w:t>
      </w:r>
      <w:r w:rsidR="002F0458">
        <w:rPr>
          <w:rFonts w:ascii="Cambria" w:hAnsi="Cambria"/>
          <w:b/>
          <w:bCs/>
          <w:lang w:val="sr-Latn-CS"/>
        </w:rPr>
        <w:t>-1</w:t>
      </w:r>
      <w:r>
        <w:rPr>
          <w:rFonts w:ascii="Cambria" w:hAnsi="Cambria"/>
          <w:b/>
          <w:bCs/>
          <w:lang w:val="sr-Latn-CS"/>
        </w:rPr>
        <w:t>/18</w:t>
      </w:r>
      <w:r w:rsidR="00677FAC">
        <w:rPr>
          <w:rFonts w:ascii="Cambria" w:hAnsi="Cambria"/>
          <w:b/>
          <w:bCs/>
          <w:lang w:val="sr-Latn-CS"/>
        </w:rPr>
        <w:tab/>
      </w:r>
      <w:r w:rsidR="00677FAC">
        <w:rPr>
          <w:rFonts w:ascii="Cambria" w:hAnsi="Cambria"/>
          <w:b/>
          <w:bCs/>
          <w:lang w:val="sr-Latn-CS"/>
        </w:rPr>
        <w:tab/>
      </w:r>
      <w:r w:rsidR="00677FAC">
        <w:rPr>
          <w:rFonts w:ascii="Cambria" w:hAnsi="Cambria"/>
          <w:b/>
          <w:bCs/>
          <w:lang w:val="sr-Latn-CS"/>
        </w:rPr>
        <w:tab/>
      </w:r>
      <w:r w:rsidR="00677FAC">
        <w:rPr>
          <w:rFonts w:ascii="Cambria" w:hAnsi="Cambria"/>
          <w:b/>
          <w:bCs/>
          <w:lang w:val="sr-Latn-CS"/>
        </w:rPr>
        <w:tab/>
      </w:r>
      <w:r w:rsidR="00677FAC">
        <w:rPr>
          <w:rFonts w:ascii="Cambria" w:hAnsi="Cambria"/>
          <w:b/>
          <w:bCs/>
          <w:lang w:val="sr-Latn-CS"/>
        </w:rPr>
        <w:tab/>
      </w:r>
      <w:r w:rsidR="00677FAC">
        <w:rPr>
          <w:rFonts w:ascii="Cambria" w:hAnsi="Cambria"/>
          <w:b/>
          <w:bCs/>
          <w:lang w:val="sr-Latn-CS"/>
        </w:rPr>
        <w:tab/>
      </w:r>
      <w:r w:rsidR="00677FAC">
        <w:rPr>
          <w:rFonts w:ascii="Cambria" w:hAnsi="Cambria"/>
          <w:b/>
          <w:bCs/>
          <w:lang w:val="sr-Latn-CS"/>
        </w:rPr>
        <w:tab/>
      </w:r>
      <w:r w:rsidR="00677FAC">
        <w:rPr>
          <w:rFonts w:ascii="Cambria" w:hAnsi="Cambria"/>
          <w:b/>
          <w:bCs/>
          <w:lang w:val="sr-Latn-CS"/>
        </w:rPr>
        <w:tab/>
      </w:r>
      <w:r w:rsidR="00677FAC">
        <w:rPr>
          <w:rFonts w:ascii="Cambria" w:hAnsi="Cambria"/>
          <w:b/>
          <w:bCs/>
          <w:lang w:val="sr-Cyrl-BA"/>
        </w:rPr>
        <w:t>ПРЕДНАЦРТ</w:t>
      </w:r>
    </w:p>
    <w:p w:rsidR="004F43FA" w:rsidRPr="00553B83" w:rsidRDefault="004F43FA" w:rsidP="00553B83">
      <w:pPr>
        <w:spacing w:line="360" w:lineRule="auto"/>
        <w:jc w:val="both"/>
        <w:rPr>
          <w:rFonts w:ascii="Cambria" w:hAnsi="Cambria"/>
          <w:b/>
          <w:bCs/>
          <w:lang w:val="sr-Latn-CS"/>
        </w:rPr>
      </w:pPr>
      <w:r w:rsidRPr="009A045A">
        <w:rPr>
          <w:rFonts w:ascii="Cambria" w:hAnsi="Cambria"/>
          <w:b/>
          <w:bCs/>
          <w:lang w:val="sr-Latn-CS"/>
        </w:rPr>
        <w:t xml:space="preserve">Сарајево,  </w:t>
      </w:r>
      <w:r w:rsidR="00D1695D">
        <w:rPr>
          <w:rFonts w:ascii="Cambria" w:hAnsi="Cambria"/>
          <w:b/>
          <w:bCs/>
          <w:lang w:val="sr-Cyrl-BA"/>
        </w:rPr>
        <w:t>03</w:t>
      </w:r>
      <w:r>
        <w:rPr>
          <w:rFonts w:ascii="Cambria" w:hAnsi="Cambria"/>
          <w:b/>
          <w:bCs/>
          <w:lang w:val="sr-Cyrl-BA"/>
        </w:rPr>
        <w:t>.08.2018</w:t>
      </w:r>
      <w:r w:rsidRPr="009A045A">
        <w:rPr>
          <w:rFonts w:ascii="Cambria" w:hAnsi="Cambria"/>
          <w:b/>
          <w:bCs/>
          <w:lang w:val="sr-Latn-CS"/>
        </w:rPr>
        <w:t>. године</w:t>
      </w:r>
    </w:p>
    <w:p w:rsidR="00930BAE" w:rsidRPr="009A045A" w:rsidRDefault="00930BAE" w:rsidP="009F765D">
      <w:pPr>
        <w:spacing w:line="360" w:lineRule="auto"/>
        <w:jc w:val="both"/>
        <w:rPr>
          <w:rFonts w:ascii="Cambria" w:hAnsi="Cambria"/>
          <w:b/>
          <w:bCs/>
          <w:lang w:val="sr-Latn-CS"/>
        </w:rPr>
      </w:pPr>
    </w:p>
    <w:p w:rsidR="00930BAE" w:rsidRPr="009A045A" w:rsidRDefault="00930BAE" w:rsidP="009F765D">
      <w:pPr>
        <w:spacing w:line="360" w:lineRule="auto"/>
        <w:jc w:val="both"/>
        <w:rPr>
          <w:rFonts w:ascii="Cambria" w:hAnsi="Cambria"/>
          <w:b/>
          <w:bCs/>
          <w:lang w:val="sr-Latn-CS"/>
        </w:rPr>
      </w:pPr>
    </w:p>
    <w:p w:rsidR="00930BAE" w:rsidRPr="009A045A" w:rsidRDefault="00930BAE" w:rsidP="009F765D">
      <w:pPr>
        <w:spacing w:line="360" w:lineRule="auto"/>
        <w:jc w:val="both"/>
        <w:rPr>
          <w:rFonts w:ascii="Cambria" w:hAnsi="Cambria"/>
          <w:b/>
          <w:bCs/>
          <w:lang w:val="sr-Latn-CS"/>
        </w:rPr>
      </w:pPr>
    </w:p>
    <w:p w:rsidR="00930BAE" w:rsidRPr="009A045A" w:rsidRDefault="00930BAE" w:rsidP="009F765D">
      <w:pPr>
        <w:spacing w:line="360" w:lineRule="auto"/>
        <w:jc w:val="both"/>
        <w:rPr>
          <w:rFonts w:ascii="Cambria" w:hAnsi="Cambria"/>
          <w:b/>
          <w:bCs/>
          <w:lang w:val="sr-Latn-CS"/>
        </w:rPr>
      </w:pPr>
    </w:p>
    <w:p w:rsidR="004F43FA" w:rsidRPr="000F5046" w:rsidRDefault="004F43FA" w:rsidP="00A76303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val="sr-Latn-CS"/>
        </w:rPr>
      </w:pPr>
    </w:p>
    <w:p w:rsidR="004F43FA" w:rsidRPr="000F5046" w:rsidRDefault="004F43FA" w:rsidP="00A76303">
      <w:pPr>
        <w:spacing w:line="360" w:lineRule="auto"/>
        <w:jc w:val="center"/>
        <w:rPr>
          <w:rFonts w:ascii="Cambria" w:hAnsi="Cambria"/>
          <w:b/>
          <w:sz w:val="24"/>
          <w:szCs w:val="24"/>
          <w:lang w:val="hr-HR"/>
        </w:rPr>
      </w:pPr>
      <w:r w:rsidRPr="000F5046">
        <w:rPr>
          <w:rFonts w:ascii="Cambria" w:hAnsi="Cambria"/>
          <w:b/>
          <w:sz w:val="24"/>
          <w:szCs w:val="24"/>
        </w:rPr>
        <w:t xml:space="preserve">П Р О Г Р А М   Р А Д А  </w:t>
      </w:r>
    </w:p>
    <w:p w:rsidR="004F43FA" w:rsidRPr="000F5046" w:rsidRDefault="004F43FA" w:rsidP="00A76303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0F5046">
        <w:rPr>
          <w:rFonts w:ascii="Cambria" w:hAnsi="Cambria"/>
          <w:b/>
          <w:sz w:val="24"/>
          <w:szCs w:val="24"/>
        </w:rPr>
        <w:t xml:space="preserve">АГЕНЦИЈЕ ЗА ЈАВНЕ НАБАВКЕ </w:t>
      </w:r>
    </w:p>
    <w:p w:rsidR="004F43FA" w:rsidRPr="00A76303" w:rsidRDefault="004F43FA" w:rsidP="00A76303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БОСНЕ И ХЕРЦЕГОВИНЕ ЗА 2019</w:t>
      </w:r>
      <w:r w:rsidRPr="000F5046">
        <w:rPr>
          <w:rFonts w:ascii="Cambria" w:hAnsi="Cambria"/>
          <w:b/>
          <w:sz w:val="24"/>
          <w:szCs w:val="24"/>
        </w:rPr>
        <w:t>. ГОДИНУ</w:t>
      </w:r>
    </w:p>
    <w:p w:rsidR="00930BAE" w:rsidRPr="009A045A" w:rsidRDefault="00930BAE" w:rsidP="009F765D">
      <w:pPr>
        <w:spacing w:line="360" w:lineRule="auto"/>
        <w:ind w:left="1440"/>
        <w:rPr>
          <w:rFonts w:ascii="Cambria" w:hAnsi="Cambria"/>
          <w:b/>
          <w:bCs/>
        </w:rPr>
      </w:pPr>
      <w:r w:rsidRPr="009A045A">
        <w:rPr>
          <w:rFonts w:ascii="Cambria" w:hAnsi="Cambria"/>
          <w:b/>
          <w:bCs/>
        </w:rPr>
        <w:tab/>
      </w:r>
      <w:r w:rsidRPr="009A045A">
        <w:rPr>
          <w:rFonts w:ascii="Cambria" w:hAnsi="Cambria"/>
          <w:b/>
          <w:bCs/>
        </w:rPr>
        <w:tab/>
      </w:r>
    </w:p>
    <w:p w:rsidR="00930BAE" w:rsidRPr="009A045A" w:rsidRDefault="00930BAE" w:rsidP="009F765D">
      <w:pPr>
        <w:spacing w:line="360" w:lineRule="auto"/>
        <w:ind w:left="1440"/>
        <w:rPr>
          <w:rFonts w:ascii="Cambria" w:hAnsi="Cambria"/>
          <w:b/>
          <w:bCs/>
        </w:rPr>
      </w:pPr>
    </w:p>
    <w:p w:rsidR="00930BAE" w:rsidRPr="009A045A" w:rsidRDefault="00930BAE" w:rsidP="009F765D">
      <w:pPr>
        <w:spacing w:line="360" w:lineRule="auto"/>
        <w:ind w:left="1440"/>
        <w:rPr>
          <w:rFonts w:ascii="Cambria" w:hAnsi="Cambria"/>
        </w:rPr>
      </w:pPr>
    </w:p>
    <w:p w:rsidR="00930BAE" w:rsidRPr="009A045A" w:rsidRDefault="00930BAE" w:rsidP="009F765D">
      <w:pPr>
        <w:spacing w:line="360" w:lineRule="auto"/>
        <w:ind w:left="1440"/>
        <w:rPr>
          <w:rFonts w:ascii="Cambria" w:hAnsi="Cambria"/>
        </w:rPr>
      </w:pPr>
    </w:p>
    <w:p w:rsidR="00930BAE" w:rsidRPr="009A045A" w:rsidRDefault="00930BAE" w:rsidP="009F765D">
      <w:pPr>
        <w:spacing w:line="360" w:lineRule="auto"/>
        <w:ind w:left="1440"/>
        <w:rPr>
          <w:rFonts w:ascii="Cambria" w:hAnsi="Cambria"/>
        </w:rPr>
      </w:pPr>
    </w:p>
    <w:p w:rsidR="00930BAE" w:rsidRPr="009A045A" w:rsidRDefault="00930BAE" w:rsidP="009F765D">
      <w:pPr>
        <w:spacing w:line="360" w:lineRule="auto"/>
        <w:ind w:left="1440"/>
        <w:rPr>
          <w:rFonts w:ascii="Cambria" w:hAnsi="Cambria"/>
        </w:rPr>
      </w:pPr>
    </w:p>
    <w:p w:rsidR="00930BAE" w:rsidRPr="009A045A" w:rsidRDefault="00930BAE" w:rsidP="009F765D">
      <w:pPr>
        <w:spacing w:line="360" w:lineRule="auto"/>
        <w:ind w:left="1440"/>
        <w:rPr>
          <w:rFonts w:ascii="Cambria" w:hAnsi="Cambria"/>
        </w:rPr>
      </w:pPr>
    </w:p>
    <w:p w:rsidR="00930BAE" w:rsidRPr="009A045A" w:rsidRDefault="00930BAE" w:rsidP="009F765D">
      <w:pPr>
        <w:spacing w:line="360" w:lineRule="auto"/>
        <w:ind w:left="1440"/>
        <w:rPr>
          <w:rFonts w:ascii="Cambria" w:hAnsi="Cambria"/>
        </w:rPr>
      </w:pPr>
      <w:r w:rsidRPr="009A045A">
        <w:rPr>
          <w:rFonts w:ascii="Cambria" w:hAnsi="Cambria"/>
        </w:rPr>
        <w:t xml:space="preserve">                             </w:t>
      </w:r>
    </w:p>
    <w:p w:rsidR="00930BAE" w:rsidRPr="009A045A" w:rsidRDefault="00930BAE" w:rsidP="009F765D">
      <w:pPr>
        <w:spacing w:line="360" w:lineRule="auto"/>
        <w:ind w:left="1440"/>
        <w:rPr>
          <w:rFonts w:ascii="Cambria" w:hAnsi="Cambria"/>
        </w:rPr>
      </w:pPr>
    </w:p>
    <w:p w:rsidR="00930BAE" w:rsidRPr="009A045A" w:rsidRDefault="00930BAE" w:rsidP="009F765D">
      <w:pPr>
        <w:pStyle w:val="Heading1"/>
        <w:spacing w:line="360" w:lineRule="auto"/>
      </w:pPr>
    </w:p>
    <w:p w:rsidR="004F43FA" w:rsidRPr="00121477" w:rsidRDefault="004F43FA" w:rsidP="00A73C08">
      <w:pPr>
        <w:jc w:val="both"/>
        <w:rPr>
          <w:rFonts w:ascii="Cambria" w:hAnsi="Cambria" w:cs="Arial"/>
          <w:sz w:val="24"/>
          <w:szCs w:val="24"/>
        </w:rPr>
      </w:pPr>
      <w:r w:rsidRPr="000F5046">
        <w:rPr>
          <w:rFonts w:ascii="Cambria" w:hAnsi="Cambria" w:cs="Arial"/>
          <w:sz w:val="24"/>
          <w:szCs w:val="24"/>
        </w:rPr>
        <w:t>На основу члана 23. Закона о министарствима и другим органима управе Босне и Херцеговине („Службени гласник БиХ“, бр. 5/03, 42/03, 26/04, 42/04, 45/06, 88/07, 35/09, 59/09 и 103/09) и члана 7. Одлуке о годишњем планирању рада и начину праћења и извјештавања у институцијама Босне и Херцеговине ("Службени гласник БиХ", број 94/14), Агенција за јавне набавке БиХ, д о н о с и:</w:t>
      </w:r>
    </w:p>
    <w:p w:rsidR="004F43FA" w:rsidRPr="000F5046" w:rsidRDefault="004F43FA" w:rsidP="00A73C08">
      <w:pPr>
        <w:jc w:val="center"/>
        <w:rPr>
          <w:rFonts w:ascii="Cambria" w:hAnsi="Cambria" w:cs="Arial"/>
          <w:b/>
          <w:bCs/>
          <w:sz w:val="24"/>
          <w:szCs w:val="24"/>
          <w:lang w:val="es-ES"/>
        </w:rPr>
      </w:pPr>
      <w:r w:rsidRPr="000F5046">
        <w:rPr>
          <w:rFonts w:ascii="Cambria" w:hAnsi="Cambria" w:cs="Arial"/>
          <w:b/>
          <w:bCs/>
          <w:sz w:val="24"/>
          <w:szCs w:val="24"/>
          <w:lang w:val="es-ES"/>
        </w:rPr>
        <w:t>ПРОГРАМ РАДА</w:t>
      </w:r>
    </w:p>
    <w:p w:rsidR="004F43FA" w:rsidRPr="000F5046" w:rsidRDefault="004F43FA" w:rsidP="00A73C08">
      <w:pPr>
        <w:jc w:val="center"/>
        <w:rPr>
          <w:rStyle w:val="Strong"/>
          <w:rFonts w:ascii="Cambria" w:hAnsi="Cambria"/>
          <w:color w:val="000000"/>
          <w:sz w:val="24"/>
          <w:szCs w:val="24"/>
          <w:lang w:val="hr-HR"/>
        </w:rPr>
      </w:pPr>
      <w:r w:rsidRPr="000F5046">
        <w:rPr>
          <w:rStyle w:val="Strong"/>
          <w:rFonts w:ascii="Cambria" w:hAnsi="Cambria" w:cs="Arial"/>
          <w:color w:val="000000"/>
          <w:sz w:val="24"/>
          <w:szCs w:val="24"/>
        </w:rPr>
        <w:t>Агенције за јавне набавке  Босне и Херцеговине</w:t>
      </w:r>
    </w:p>
    <w:p w:rsidR="004F43FA" w:rsidRPr="004210A5" w:rsidRDefault="009D3AA8" w:rsidP="00A73C08">
      <w:pPr>
        <w:jc w:val="center"/>
        <w:rPr>
          <w:rStyle w:val="Strong"/>
          <w:rFonts w:ascii="Cambria" w:hAnsi="Cambria" w:cs="Arial"/>
          <w:color w:val="000000"/>
          <w:sz w:val="24"/>
          <w:szCs w:val="24"/>
        </w:rPr>
      </w:pPr>
      <w:r>
        <w:rPr>
          <w:rStyle w:val="Strong"/>
          <w:rFonts w:ascii="Cambria" w:hAnsi="Cambria" w:cs="Arial"/>
          <w:color w:val="000000"/>
          <w:sz w:val="24"/>
          <w:szCs w:val="24"/>
          <w:lang w:val="sr-Cyrl-BA"/>
        </w:rPr>
        <w:t>за</w:t>
      </w:r>
      <w:r w:rsidR="004F43FA" w:rsidRPr="000F5046">
        <w:rPr>
          <w:rStyle w:val="Strong"/>
          <w:rFonts w:ascii="Cambria" w:hAnsi="Cambria" w:cs="Arial"/>
          <w:color w:val="000000"/>
          <w:sz w:val="24"/>
          <w:szCs w:val="24"/>
        </w:rPr>
        <w:t xml:space="preserve"> </w:t>
      </w:r>
      <w:r>
        <w:rPr>
          <w:rStyle w:val="Strong"/>
          <w:rFonts w:ascii="Cambria" w:hAnsi="Cambria" w:cs="Arial"/>
          <w:color w:val="000000"/>
          <w:sz w:val="24"/>
          <w:szCs w:val="24"/>
        </w:rPr>
        <w:t>период</w:t>
      </w:r>
      <w:r w:rsidR="004F43FA">
        <w:rPr>
          <w:rStyle w:val="Strong"/>
          <w:rFonts w:ascii="Cambria" w:hAnsi="Cambria" w:cs="Arial"/>
          <w:color w:val="000000"/>
          <w:sz w:val="24"/>
          <w:szCs w:val="24"/>
        </w:rPr>
        <w:t xml:space="preserve"> од 01.01. до 31.12. 2019.</w:t>
      </w:r>
      <w:r w:rsidR="004F43FA" w:rsidRPr="000F5046">
        <w:rPr>
          <w:rStyle w:val="Strong"/>
          <w:rFonts w:ascii="Cambria" w:hAnsi="Cambria" w:cs="Arial"/>
          <w:color w:val="000000"/>
          <w:sz w:val="24"/>
          <w:szCs w:val="24"/>
        </w:rPr>
        <w:t xml:space="preserve"> године</w:t>
      </w:r>
    </w:p>
    <w:p w:rsidR="004F43FA" w:rsidRPr="000F5046" w:rsidRDefault="004F43FA" w:rsidP="00A73C08">
      <w:pPr>
        <w:jc w:val="both"/>
        <w:rPr>
          <w:rFonts w:ascii="Cambria" w:hAnsi="Cambria"/>
          <w:sz w:val="24"/>
          <w:szCs w:val="24"/>
        </w:rPr>
      </w:pPr>
      <w:r w:rsidRPr="000F5046">
        <w:rPr>
          <w:rFonts w:ascii="Cambria" w:hAnsi="Cambria"/>
          <w:sz w:val="24"/>
          <w:szCs w:val="24"/>
        </w:rPr>
        <w:t xml:space="preserve">Агенција за јавне набавке је самостална управна организација са статусом правног лица са сједиштем  у Сарајеву и двије филијале са сједиштем у Бањалуци и Мостару, која је </w:t>
      </w:r>
      <w:r w:rsidR="004A41F8">
        <w:rPr>
          <w:rFonts w:ascii="Cambria" w:hAnsi="Cambria"/>
          <w:sz w:val="24"/>
          <w:szCs w:val="24"/>
          <w:lang w:val="sr-Cyrl-BA"/>
        </w:rPr>
        <w:t>основана</w:t>
      </w:r>
      <w:r w:rsidRPr="000F5046">
        <w:rPr>
          <w:rFonts w:ascii="Cambria" w:hAnsi="Cambria"/>
          <w:sz w:val="24"/>
          <w:szCs w:val="24"/>
        </w:rPr>
        <w:t xml:space="preserve"> Законом о јавним набавкама БиХ.  Улога Агенције је да обезбиједи правилно спровођење Закона о јавним набавкама и подзаконских аката. Утврђене су надлежности Агенције у складу с чланом 92. став 3. Закона.</w:t>
      </w:r>
    </w:p>
    <w:p w:rsidR="004F43FA" w:rsidRPr="00F47080" w:rsidRDefault="004F43FA" w:rsidP="00A73C0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Стратешким оквиром за БиХ од стране Дирекције за економско планирање  дефинисан  је општи циљ, стратешки циљ и средњорочни циљ Агенције за јавне набавке БиХ.</w:t>
      </w:r>
    </w:p>
    <w:p w:rsidR="004F43FA" w:rsidRPr="000F5046" w:rsidRDefault="004F43FA" w:rsidP="00A73C08">
      <w:pPr>
        <w:jc w:val="both"/>
        <w:rPr>
          <w:rFonts w:ascii="Cambria" w:hAnsi="Cambria"/>
          <w:sz w:val="24"/>
          <w:szCs w:val="24"/>
        </w:rPr>
      </w:pPr>
      <w:r w:rsidRPr="000F5046">
        <w:rPr>
          <w:rFonts w:ascii="Cambria" w:hAnsi="Cambria"/>
          <w:sz w:val="24"/>
          <w:szCs w:val="24"/>
        </w:rPr>
        <w:t>Стратегија развоја система јавних набавки у Босни и Херцеговини, за период од 2016. до 2020. године, представља преглед тренутног стања и расположивих капацитета  у области јавних набавки, са стратешким циљевима за унапређење система, за период од 2016. до 2020. године.</w:t>
      </w:r>
    </w:p>
    <w:p w:rsidR="004F43FA" w:rsidRPr="00405621" w:rsidRDefault="004F43FA" w:rsidP="00A73C08">
      <w:pPr>
        <w:jc w:val="both"/>
      </w:pPr>
      <w:r>
        <w:rPr>
          <w:rFonts w:ascii="Cambria" w:hAnsi="Cambria"/>
          <w:sz w:val="24"/>
          <w:szCs w:val="24"/>
        </w:rPr>
        <w:t>У Стратегији</w:t>
      </w:r>
      <w:r w:rsidRPr="000F5046">
        <w:rPr>
          <w:rFonts w:ascii="Cambria" w:hAnsi="Cambria"/>
          <w:sz w:val="24"/>
          <w:szCs w:val="24"/>
        </w:rPr>
        <w:t xml:space="preserve"> развоја система јавних набавки у Босни и Херцеговини, за период од 2016. до 2020. године, дефинисани су стратешки циљеви за побољшаље законодавног оквира, јачање капацитета у погледу људских ресурса, унапређење система мониторинга, даља едукација и обука уговорних органа, унапређење система правне заштите, што доприноси еволуацији система јавних набавки у БиХ  усклађен с правним и институционалним оквиром  предвиђен правним тековинама Европске уније (</w:t>
      </w:r>
      <w:r w:rsidR="00424059" w:rsidRPr="00424059">
        <w:rPr>
          <w:rFonts w:ascii="Cambria" w:hAnsi="Cambria"/>
          <w:sz w:val="24"/>
          <w:szCs w:val="24"/>
        </w:rPr>
        <w:t>Acquis communautaire</w:t>
      </w:r>
      <w:r w:rsidRPr="000F5046">
        <w:rPr>
          <w:rFonts w:ascii="Cambria" w:hAnsi="Cambria"/>
          <w:sz w:val="24"/>
          <w:szCs w:val="24"/>
        </w:rPr>
        <w:t>) и стандардима и добрим праксама ЕУ.</w:t>
      </w:r>
    </w:p>
    <w:p w:rsidR="004F43FA" w:rsidRPr="001B5C86" w:rsidRDefault="004F43FA" w:rsidP="00A73C08">
      <w:pPr>
        <w:jc w:val="both"/>
        <w:rPr>
          <w:rFonts w:ascii="Cambria" w:hAnsi="Cambria"/>
          <w:sz w:val="24"/>
          <w:szCs w:val="24"/>
        </w:rPr>
      </w:pPr>
      <w:r w:rsidRPr="000F5046">
        <w:rPr>
          <w:rFonts w:ascii="Cambria" w:hAnsi="Cambria"/>
          <w:sz w:val="24"/>
          <w:szCs w:val="24"/>
        </w:rPr>
        <w:t>Документом Средњорочног планирања, за период 201</w:t>
      </w:r>
      <w:r>
        <w:rPr>
          <w:rFonts w:ascii="Cambria" w:hAnsi="Cambria"/>
          <w:sz w:val="24"/>
          <w:szCs w:val="24"/>
        </w:rPr>
        <w:t>9</w:t>
      </w:r>
      <w:r w:rsidRPr="000F5046">
        <w:rPr>
          <w:rFonts w:ascii="Cambria" w:hAnsi="Cambria"/>
          <w:sz w:val="24"/>
          <w:szCs w:val="24"/>
        </w:rPr>
        <w:t>-20</w:t>
      </w:r>
      <w:r>
        <w:rPr>
          <w:rFonts w:ascii="Cambria" w:hAnsi="Cambria"/>
          <w:sz w:val="24"/>
          <w:szCs w:val="24"/>
        </w:rPr>
        <w:t>21</w:t>
      </w:r>
      <w:r w:rsidRPr="000F504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  <w:lang w:val="sr-Cyrl-BA"/>
        </w:rPr>
        <w:t xml:space="preserve"> </w:t>
      </w:r>
      <w:r w:rsidRPr="000F5046">
        <w:rPr>
          <w:rFonts w:ascii="Cambria" w:hAnsi="Cambria"/>
          <w:sz w:val="24"/>
          <w:szCs w:val="24"/>
        </w:rPr>
        <w:t>године,</w:t>
      </w:r>
      <w:r>
        <w:rPr>
          <w:rFonts w:ascii="Cambria" w:hAnsi="Cambria"/>
          <w:sz w:val="24"/>
          <w:szCs w:val="24"/>
        </w:rPr>
        <w:t xml:space="preserve"> Агенција</w:t>
      </w:r>
      <w:r w:rsidRPr="000F5046">
        <w:rPr>
          <w:rFonts w:ascii="Cambria" w:hAnsi="Cambria"/>
          <w:sz w:val="24"/>
          <w:szCs w:val="24"/>
        </w:rPr>
        <w:t xml:space="preserve"> за јавне набавке БиХ, дефинисала је програм „Јачање система јавних набавки“, као и три пројект</w:t>
      </w:r>
      <w:r>
        <w:rPr>
          <w:rFonts w:ascii="Cambria" w:hAnsi="Cambria"/>
          <w:sz w:val="24"/>
          <w:szCs w:val="24"/>
        </w:rPr>
        <w:t>не активности</w:t>
      </w:r>
      <w:r w:rsidRPr="000F5046">
        <w:rPr>
          <w:rFonts w:ascii="Cambria" w:hAnsi="Cambria"/>
          <w:sz w:val="24"/>
          <w:szCs w:val="24"/>
        </w:rPr>
        <w:t xml:space="preserve">: </w:t>
      </w:r>
    </w:p>
    <w:p w:rsidR="004F43FA" w:rsidRPr="00711AA0" w:rsidRDefault="004F43FA" w:rsidP="00A73C08">
      <w:pPr>
        <w:pStyle w:val="ListParagraph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0F5046">
        <w:rPr>
          <w:rFonts w:ascii="Cambria" w:hAnsi="Cambria"/>
          <w:sz w:val="24"/>
          <w:szCs w:val="24"/>
        </w:rPr>
        <w:t xml:space="preserve">„Унапријеђења постојећих и увођење нових функционалности система е-набавке уз припадајући </w:t>
      </w:r>
      <w:r w:rsidR="00711AA0">
        <w:rPr>
          <w:rFonts w:ascii="Cambria" w:hAnsi="Cambria"/>
          <w:sz w:val="24"/>
          <w:szCs w:val="24"/>
          <w:lang w:val="sr-Cyrl-BA"/>
        </w:rPr>
        <w:t xml:space="preserve">законодавни </w:t>
      </w:r>
      <w:r w:rsidRPr="00711AA0">
        <w:rPr>
          <w:rFonts w:ascii="Cambria" w:hAnsi="Cambria"/>
          <w:sz w:val="24"/>
          <w:szCs w:val="24"/>
        </w:rPr>
        <w:t xml:space="preserve">оквир“, гдје су Сектор за информационе технологије, финансијске и опште послове и Сектор за правне послове и послове обуке и анализе, носиоци активности, </w:t>
      </w:r>
    </w:p>
    <w:p w:rsidR="004F43FA" w:rsidRPr="000F5046" w:rsidRDefault="004F43FA" w:rsidP="00A73C08">
      <w:pPr>
        <w:pStyle w:val="ListParagraph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0F5046">
        <w:rPr>
          <w:rFonts w:ascii="Cambria" w:hAnsi="Cambria"/>
          <w:sz w:val="24"/>
          <w:szCs w:val="24"/>
        </w:rPr>
        <w:lastRenderedPageBreak/>
        <w:t>„Обуке службеника за јавне  набавке</w:t>
      </w:r>
      <w:r w:rsidR="00405621">
        <w:rPr>
          <w:sz w:val="24"/>
          <w:szCs w:val="24"/>
        </w:rPr>
        <w:t xml:space="preserve"> „ гдје је</w:t>
      </w:r>
      <w:r w:rsidRPr="000F5046">
        <w:rPr>
          <w:sz w:val="24"/>
          <w:szCs w:val="24"/>
        </w:rPr>
        <w:t xml:space="preserve"> </w:t>
      </w:r>
      <w:r w:rsidRPr="000F5046">
        <w:rPr>
          <w:rFonts w:ascii="Cambria" w:hAnsi="Cambria"/>
          <w:sz w:val="24"/>
          <w:szCs w:val="24"/>
        </w:rPr>
        <w:t xml:space="preserve">Сектор за правне послове и послове обуке и анализе –Филијала Бања Лука носилац  активности и </w:t>
      </w:r>
    </w:p>
    <w:p w:rsidR="004F43FA" w:rsidRDefault="004F43FA" w:rsidP="00A73C08">
      <w:pPr>
        <w:pStyle w:val="ListParagraph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0F5046">
        <w:rPr>
          <w:rFonts w:ascii="Cambria" w:hAnsi="Cambria"/>
          <w:sz w:val="24"/>
          <w:szCs w:val="24"/>
        </w:rPr>
        <w:t>„Праћење поступака јавних набавки по изворима праћења“ гдје је Сектор за правне послове и послове обуке и анализе</w:t>
      </w:r>
      <w:r w:rsidR="00A71BAD">
        <w:rPr>
          <w:rFonts w:ascii="Cambria" w:hAnsi="Cambria"/>
          <w:sz w:val="24"/>
          <w:szCs w:val="24"/>
        </w:rPr>
        <w:t xml:space="preserve"> –Филијала</w:t>
      </w:r>
      <w:r w:rsidRPr="000F5046">
        <w:rPr>
          <w:rFonts w:ascii="Cambria" w:hAnsi="Cambria"/>
          <w:sz w:val="24"/>
          <w:szCs w:val="24"/>
        </w:rPr>
        <w:t xml:space="preserve"> Мостар носилац активности.</w:t>
      </w:r>
    </w:p>
    <w:p w:rsidR="000842A7" w:rsidRPr="00AF72F4" w:rsidRDefault="00AF72F4" w:rsidP="00A73C08">
      <w:pPr>
        <w:jc w:val="both"/>
        <w:rPr>
          <w:rFonts w:ascii="Cambria" w:hAnsi="Cambria"/>
          <w:sz w:val="24"/>
          <w:szCs w:val="24"/>
          <w:lang w:val="sr-Cyrl-BA"/>
        </w:rPr>
      </w:pPr>
      <w:r w:rsidRPr="00AF72F4">
        <w:rPr>
          <w:rFonts w:ascii="Cambria" w:hAnsi="Cambria"/>
          <w:sz w:val="24"/>
          <w:szCs w:val="24"/>
        </w:rPr>
        <w:t xml:space="preserve">У контексту побољшања </w:t>
      </w:r>
      <w:r>
        <w:rPr>
          <w:rFonts w:ascii="Cambria" w:hAnsi="Cambria"/>
          <w:sz w:val="24"/>
          <w:szCs w:val="24"/>
        </w:rPr>
        <w:t>система јавних  набавки  и  даљ</w:t>
      </w:r>
      <w:r w:rsidRPr="00AF72F4">
        <w:rPr>
          <w:rFonts w:ascii="Cambria" w:hAnsi="Cambria"/>
          <w:sz w:val="24"/>
          <w:szCs w:val="24"/>
        </w:rPr>
        <w:t xml:space="preserve">ег усклађивања с правним тековинама ЕУ, </w:t>
      </w:r>
      <w:r>
        <w:rPr>
          <w:rFonts w:ascii="Cambria" w:hAnsi="Cambria"/>
          <w:sz w:val="24"/>
          <w:szCs w:val="24"/>
          <w:lang w:val="sr-Cyrl-BA"/>
        </w:rPr>
        <w:t xml:space="preserve"> </w:t>
      </w:r>
      <w:r>
        <w:rPr>
          <w:rFonts w:ascii="Cambria" w:hAnsi="Cambria"/>
          <w:sz w:val="24"/>
          <w:szCs w:val="24"/>
        </w:rPr>
        <w:t xml:space="preserve">Агенција </w:t>
      </w:r>
      <w:r w:rsidRPr="00AF72F4">
        <w:rPr>
          <w:rFonts w:ascii="Cambria" w:hAnsi="Cambria"/>
          <w:sz w:val="24"/>
          <w:szCs w:val="24"/>
        </w:rPr>
        <w:t>је дефинисала пројектне активности за надоградњу постојећег система електронских набавки, тј. увођење нових модул</w:t>
      </w:r>
      <w:r>
        <w:rPr>
          <w:rFonts w:ascii="Cambria" w:hAnsi="Cambria"/>
          <w:sz w:val="24"/>
          <w:szCs w:val="24"/>
        </w:rPr>
        <w:t xml:space="preserve">а које је потребно развити. За финансирање </w:t>
      </w:r>
      <w:r w:rsidRPr="00AF72F4">
        <w:rPr>
          <w:rFonts w:ascii="Cambria" w:hAnsi="Cambria"/>
          <w:sz w:val="24"/>
          <w:szCs w:val="24"/>
        </w:rPr>
        <w:t>ових пројеката, Агенција не користи средства из Буџета</w:t>
      </w:r>
      <w:r w:rsidR="00711AA0">
        <w:rPr>
          <w:rFonts w:ascii="Cambria" w:hAnsi="Cambria"/>
          <w:sz w:val="24"/>
          <w:szCs w:val="24"/>
        </w:rPr>
        <w:t xml:space="preserve"> институција БиХ већ донаторска</w:t>
      </w:r>
      <w:r w:rsidRPr="00AF72F4">
        <w:rPr>
          <w:rFonts w:ascii="Cambria" w:hAnsi="Cambria"/>
          <w:sz w:val="24"/>
          <w:szCs w:val="24"/>
        </w:rPr>
        <w:t xml:space="preserve"> средства. У 2018. години имали смо интезивну сарадњу са неколико међународних организација, према којима смо номиновали пројекте и са којима смо радили на дефинисању циљеве и активности на тим пројектима. Добили смо незванична одобрења за исте, те до краја ове године очекујемо и коначну потврду, те службени почетак реализације</w:t>
      </w:r>
      <w:r>
        <w:rPr>
          <w:rFonts w:ascii="Cambria" w:hAnsi="Cambria"/>
          <w:sz w:val="24"/>
          <w:szCs w:val="24"/>
          <w:lang w:val="sr-Cyrl-BA"/>
        </w:rPr>
        <w:t>.</w:t>
      </w:r>
    </w:p>
    <w:p w:rsidR="004F43FA" w:rsidRPr="000F5046" w:rsidRDefault="004F43FA" w:rsidP="00A73C08">
      <w:pPr>
        <w:jc w:val="both"/>
        <w:rPr>
          <w:rFonts w:ascii="Cambria" w:hAnsi="Cambria"/>
          <w:sz w:val="24"/>
          <w:szCs w:val="24"/>
        </w:rPr>
      </w:pPr>
      <w:r w:rsidRPr="000F5046">
        <w:rPr>
          <w:rFonts w:ascii="Cambria" w:hAnsi="Cambria"/>
          <w:sz w:val="24"/>
          <w:szCs w:val="24"/>
        </w:rPr>
        <w:t>Средњорочн</w:t>
      </w:r>
      <w:r w:rsidR="00AF72F4">
        <w:rPr>
          <w:rFonts w:ascii="Cambria" w:hAnsi="Cambria"/>
          <w:sz w:val="24"/>
          <w:szCs w:val="24"/>
        </w:rPr>
        <w:t xml:space="preserve">и циљ Агенције, за </w:t>
      </w:r>
      <w:r w:rsidR="00424059">
        <w:rPr>
          <w:rFonts w:ascii="Cambria" w:hAnsi="Cambria"/>
          <w:sz w:val="24"/>
          <w:szCs w:val="24"/>
          <w:lang w:val="sr-Cyrl-BA"/>
        </w:rPr>
        <w:t>период</w:t>
      </w:r>
      <w:r w:rsidR="00AF72F4">
        <w:rPr>
          <w:rFonts w:ascii="Cambria" w:hAnsi="Cambria"/>
          <w:sz w:val="24"/>
          <w:szCs w:val="24"/>
        </w:rPr>
        <w:t xml:space="preserve"> 2019. до 2021</w:t>
      </w:r>
      <w:r w:rsidRPr="000F5046">
        <w:rPr>
          <w:rFonts w:ascii="Cambria" w:hAnsi="Cambria"/>
          <w:sz w:val="24"/>
          <w:szCs w:val="24"/>
        </w:rPr>
        <w:t>. г</w:t>
      </w:r>
      <w:r w:rsidR="00AF72F4">
        <w:rPr>
          <w:rFonts w:ascii="Cambria" w:hAnsi="Cambria"/>
          <w:sz w:val="24"/>
          <w:szCs w:val="24"/>
        </w:rPr>
        <w:t>одине дефинише  визију и мисију</w:t>
      </w:r>
      <w:r w:rsidRPr="000F5046">
        <w:rPr>
          <w:rFonts w:ascii="Cambria" w:hAnsi="Cambria"/>
          <w:sz w:val="24"/>
          <w:szCs w:val="24"/>
        </w:rPr>
        <w:t xml:space="preserve"> кључних сегмената рада и дјеловања у наредном трогодишњем периоду, средњорочне циљеве и потребе, специфичне (оперативне) циљеве и потребе, програме, пројекте, као и  приоритете у наредном периоду.</w:t>
      </w:r>
    </w:p>
    <w:p w:rsidR="0003585A" w:rsidRPr="004F43FA" w:rsidRDefault="004F43FA" w:rsidP="00A73C08">
      <w:pPr>
        <w:jc w:val="both"/>
      </w:pPr>
      <w:r w:rsidRPr="000F5046">
        <w:rPr>
          <w:rFonts w:ascii="Cambria" w:hAnsi="Cambria"/>
          <w:sz w:val="24"/>
          <w:szCs w:val="24"/>
        </w:rPr>
        <w:t>Средњорочни циљ  јединственог система јавних набавки  у Босни и Херцеговини представља  координисано провођење поступака јавних набавки и транспарентну  додјелу уговора о јавним набавкама, једнак третман свих учесника у поступцима јавних набавки, потицање</w:t>
      </w:r>
      <w:r w:rsidR="00AF72F4">
        <w:rPr>
          <w:lang w:val="sr-Cyrl-BA"/>
        </w:rPr>
        <w:t xml:space="preserve"> </w:t>
      </w:r>
      <w:r w:rsidRPr="000F5046">
        <w:rPr>
          <w:rFonts w:ascii="Cambria" w:hAnsi="Cambria"/>
          <w:sz w:val="24"/>
          <w:szCs w:val="24"/>
        </w:rPr>
        <w:t>тржишне конкуренције и одрживог привредног раста, те истовремено пружање јединствене правне заштите</w:t>
      </w:r>
      <w:r w:rsidR="00513E23" w:rsidRPr="000F5046">
        <w:rPr>
          <w:rFonts w:ascii="Cambria" w:hAnsi="Cambria"/>
          <w:sz w:val="24"/>
          <w:szCs w:val="24"/>
        </w:rPr>
        <w:t xml:space="preserve">. </w:t>
      </w:r>
    </w:p>
    <w:p w:rsidR="004F43FA" w:rsidRPr="004F43FA" w:rsidRDefault="004F43FA" w:rsidP="00A73C08">
      <w:pPr>
        <w:jc w:val="both"/>
      </w:pPr>
      <w:r w:rsidRPr="000F5046">
        <w:rPr>
          <w:rFonts w:ascii="Cambria" w:hAnsi="Cambria"/>
          <w:sz w:val="24"/>
          <w:szCs w:val="24"/>
        </w:rPr>
        <w:t>Средњорочни циљ Агенције за јавне набавке БиХ је дефинисан у документу Средњорочни програм рада Агенције за ја</w:t>
      </w:r>
      <w:r w:rsidR="00405621">
        <w:rPr>
          <w:rFonts w:ascii="Cambria" w:hAnsi="Cambria"/>
          <w:sz w:val="24"/>
          <w:szCs w:val="24"/>
        </w:rPr>
        <w:t>вне набавке БиХ, за период  2019. до 2021</w:t>
      </w:r>
      <w:r w:rsidRPr="000F5046">
        <w:rPr>
          <w:rFonts w:ascii="Cambria" w:hAnsi="Cambria"/>
          <w:sz w:val="24"/>
          <w:szCs w:val="24"/>
        </w:rPr>
        <w:t>. године, на следећи начин</w:t>
      </w:r>
      <w:r w:rsidR="0021050E" w:rsidRPr="000F5046">
        <w:rPr>
          <w:rFonts w:ascii="Cambria" w:hAnsi="Cambria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070"/>
        <w:gridCol w:w="6972"/>
      </w:tblGrid>
      <w:tr w:rsidR="00C9235F" w:rsidRPr="000F5046" w:rsidTr="00043C21">
        <w:trPr>
          <w:trHeight w:val="1454"/>
        </w:trPr>
        <w:tc>
          <w:tcPr>
            <w:tcW w:w="2122" w:type="dxa"/>
            <w:shd w:val="clear" w:color="auto" w:fill="8DB3E2" w:themeFill="text2" w:themeFillTint="66"/>
            <w:vAlign w:val="center"/>
          </w:tcPr>
          <w:p w:rsidR="00405621" w:rsidRDefault="00405621">
            <w:r w:rsidRPr="000F5046">
              <w:rPr>
                <w:rFonts w:ascii="Cambria" w:hAnsi="Cambria"/>
                <w:b/>
                <w:bCs/>
                <w:i/>
                <w:sz w:val="24"/>
                <w:szCs w:val="24"/>
                <w:shd w:val="clear" w:color="auto" w:fill="8DB3E2" w:themeFill="text2" w:themeFillTint="66"/>
              </w:rPr>
              <w:t>Средњорочни цил</w:t>
            </w:r>
            <w:r w:rsidRPr="000F5046">
              <w:rPr>
                <w:rFonts w:ascii="Cambria" w:hAnsi="Cambria"/>
                <w:b/>
                <w:bCs/>
                <w:i/>
                <w:sz w:val="24"/>
                <w:szCs w:val="24"/>
              </w:rPr>
              <w:t>ј</w:t>
            </w:r>
          </w:p>
          <w:p w:rsidR="00C9235F" w:rsidRPr="000F5046" w:rsidRDefault="00C9235F" w:rsidP="009F765D">
            <w:pPr>
              <w:spacing w:line="360" w:lineRule="auto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67" w:type="dxa"/>
          </w:tcPr>
          <w:p w:rsidR="00405621" w:rsidRPr="000F5046" w:rsidRDefault="00405621" w:rsidP="000C17C3">
            <w:pPr>
              <w:spacing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  <w:p w:rsidR="00405621" w:rsidRDefault="00405621" w:rsidP="00405621">
            <w:pPr>
              <w:jc w:val="both"/>
            </w:pPr>
            <w:r w:rsidRPr="000F5046">
              <w:rPr>
                <w:rFonts w:ascii="Cambria" w:hAnsi="Cambria"/>
                <w:bCs/>
                <w:sz w:val="24"/>
                <w:szCs w:val="24"/>
              </w:rPr>
              <w:t xml:space="preserve">Унаприједити систем инфраструктуре квалитета у складу са ЕУ </w:t>
            </w:r>
            <w:r w:rsidR="00711AA0">
              <w:rPr>
                <w:rFonts w:ascii="Cambria" w:hAnsi="Cambria"/>
                <w:bCs/>
                <w:sz w:val="24"/>
                <w:szCs w:val="24"/>
                <w:lang w:val="sr-Cyrl-BA"/>
              </w:rPr>
              <w:t>законодавством</w:t>
            </w:r>
            <w:r w:rsidRPr="000F5046">
              <w:rPr>
                <w:rFonts w:ascii="Cambria" w:hAnsi="Cambria"/>
                <w:bCs/>
                <w:sz w:val="24"/>
                <w:szCs w:val="24"/>
              </w:rPr>
              <w:t xml:space="preserve"> и добром праксом ЕУ, ефикаснију регулацију тржишта у сврху </w:t>
            </w:r>
            <w:r w:rsidR="00711AA0">
              <w:rPr>
                <w:rFonts w:ascii="Cambria" w:hAnsi="Cambria"/>
                <w:bCs/>
                <w:sz w:val="24"/>
                <w:szCs w:val="24"/>
                <w:lang w:val="sr-Cyrl-BA"/>
              </w:rPr>
              <w:t>осигурања</w:t>
            </w:r>
            <w:r w:rsidRPr="000F5046">
              <w:rPr>
                <w:rFonts w:ascii="Cambria" w:hAnsi="Cambria"/>
                <w:bCs/>
                <w:sz w:val="24"/>
                <w:szCs w:val="24"/>
              </w:rPr>
              <w:t xml:space="preserve"> слободног кретања роба и услуга и тржишне фер конкуренције.</w:t>
            </w:r>
          </w:p>
          <w:p w:rsidR="00C9235F" w:rsidRPr="000F5046" w:rsidRDefault="00C9235F" w:rsidP="009F765D">
            <w:pPr>
              <w:spacing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03585A" w:rsidRPr="000F5046" w:rsidRDefault="0003585A" w:rsidP="009F765D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4F43FA" w:rsidRPr="000F5046" w:rsidRDefault="004F43FA" w:rsidP="00A73C08">
      <w:pPr>
        <w:jc w:val="both"/>
        <w:rPr>
          <w:rFonts w:ascii="Cambria" w:hAnsi="Cambria"/>
          <w:sz w:val="24"/>
          <w:szCs w:val="24"/>
        </w:rPr>
      </w:pPr>
      <w:r w:rsidRPr="000F5046">
        <w:rPr>
          <w:rFonts w:ascii="Cambria" w:hAnsi="Cambria"/>
          <w:sz w:val="24"/>
          <w:szCs w:val="24"/>
        </w:rPr>
        <w:t xml:space="preserve">Средњорочни циљ Агенције повезан је и изведен из стратешких циљева утврђених Стратешким оквиром за Босну и Херцеговину и Средњорочним програмом рада </w:t>
      </w:r>
      <w:r w:rsidR="00405621">
        <w:rPr>
          <w:rFonts w:ascii="Cambria" w:hAnsi="Cambria"/>
          <w:sz w:val="24"/>
          <w:szCs w:val="24"/>
          <w:lang w:val="sr-Cyrl-BA"/>
        </w:rPr>
        <w:t>Савјета</w:t>
      </w:r>
      <w:r w:rsidRPr="000F5046">
        <w:rPr>
          <w:rFonts w:ascii="Cambria" w:hAnsi="Cambria"/>
          <w:sz w:val="24"/>
          <w:szCs w:val="24"/>
        </w:rPr>
        <w:t xml:space="preserve"> министара Босне и Херцеговине и његово остваривање заснива се на реализацији специфичних циљева, као и провођењу програма и пројеката.</w:t>
      </w:r>
    </w:p>
    <w:p w:rsidR="00C9235F" w:rsidRPr="004F43FA" w:rsidRDefault="004F43FA" w:rsidP="00A73C08">
      <w:pPr>
        <w:jc w:val="both"/>
      </w:pPr>
      <w:r w:rsidRPr="000F5046">
        <w:rPr>
          <w:rFonts w:ascii="Cambria" w:hAnsi="Cambria"/>
          <w:bCs/>
          <w:sz w:val="24"/>
          <w:szCs w:val="24"/>
        </w:rPr>
        <w:lastRenderedPageBreak/>
        <w:t>Специфични циљеви су програми, који су инструменти за имплементацију циљева, састоје се од пројеката, односно, скупа компатибилних активности које воде ка остварењу заједничког циља</w:t>
      </w:r>
      <w:r w:rsidR="001E6FE4" w:rsidRPr="000F5046">
        <w:rPr>
          <w:rFonts w:ascii="Cambria" w:hAnsi="Cambria"/>
          <w:bCs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052"/>
        <w:gridCol w:w="6990"/>
      </w:tblGrid>
      <w:tr w:rsidR="00C9235F" w:rsidRPr="000F5046" w:rsidTr="000F5046">
        <w:trPr>
          <w:trHeight w:val="1187"/>
        </w:trPr>
        <w:tc>
          <w:tcPr>
            <w:tcW w:w="2119" w:type="dxa"/>
            <w:shd w:val="clear" w:color="auto" w:fill="8DB3E2" w:themeFill="text2" w:themeFillTint="66"/>
            <w:vAlign w:val="center"/>
          </w:tcPr>
          <w:p w:rsidR="00405621" w:rsidRDefault="00405621" w:rsidP="00CC72D1">
            <w:r w:rsidRPr="000F5046">
              <w:rPr>
                <w:rFonts w:ascii="Cambria" w:hAnsi="Cambria"/>
                <w:b/>
                <w:bCs/>
                <w:i/>
                <w:sz w:val="24"/>
                <w:szCs w:val="24"/>
              </w:rPr>
              <w:t>Специфични циљ</w:t>
            </w:r>
          </w:p>
          <w:p w:rsidR="00C9235F" w:rsidRPr="000F5046" w:rsidRDefault="00C9235F" w:rsidP="009F765D">
            <w:pPr>
              <w:spacing w:line="360" w:lineRule="auto"/>
              <w:rPr>
                <w:rFonts w:ascii="Cambria" w:hAnsi="Cambria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0" w:type="dxa"/>
            <w:vAlign w:val="center"/>
          </w:tcPr>
          <w:p w:rsidR="000F5046" w:rsidRDefault="000F5046" w:rsidP="009F765D">
            <w:pPr>
              <w:spacing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  <w:p w:rsidR="00405621" w:rsidRDefault="00405621" w:rsidP="00405621">
            <w:pPr>
              <w:jc w:val="both"/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Унапређења </w:t>
            </w:r>
            <w:r w:rsidRPr="000F5046">
              <w:rPr>
                <w:rFonts w:ascii="Cambria" w:hAnsi="Cambria"/>
                <w:bCs/>
                <w:sz w:val="24"/>
                <w:szCs w:val="24"/>
              </w:rPr>
              <w:t>процес</w:t>
            </w:r>
            <w:r>
              <w:rPr>
                <w:rFonts w:ascii="Cambria" w:hAnsi="Cambria"/>
                <w:bCs/>
                <w:sz w:val="24"/>
                <w:szCs w:val="24"/>
              </w:rPr>
              <w:t>а</w:t>
            </w:r>
            <w:r w:rsidRPr="000F5046">
              <w:rPr>
                <w:rFonts w:ascii="Cambria" w:hAnsi="Cambria"/>
                <w:bCs/>
                <w:sz w:val="24"/>
                <w:szCs w:val="24"/>
              </w:rPr>
              <w:t xml:space="preserve"> ефикасности и транспарентности про</w:t>
            </w:r>
            <w:r w:rsidR="00711AA0">
              <w:rPr>
                <w:rFonts w:ascii="Cambria" w:hAnsi="Cambria"/>
                <w:bCs/>
                <w:sz w:val="24"/>
                <w:szCs w:val="24"/>
              </w:rPr>
              <w:t>вођења поступака јавних набавки у БиХ</w:t>
            </w:r>
          </w:p>
          <w:p w:rsidR="00C9235F" w:rsidRPr="000F5046" w:rsidRDefault="00C9235F" w:rsidP="009F765D">
            <w:pPr>
              <w:spacing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9A045A" w:rsidRPr="000F5046" w:rsidRDefault="009A045A" w:rsidP="009F765D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AF72F4" w:rsidRDefault="004F43FA" w:rsidP="00A73C08">
      <w:pPr>
        <w:spacing w:after="0"/>
        <w:jc w:val="both"/>
        <w:rPr>
          <w:rFonts w:ascii="Cambria" w:hAnsi="Cambria"/>
          <w:sz w:val="24"/>
          <w:szCs w:val="24"/>
        </w:rPr>
      </w:pPr>
      <w:r w:rsidRPr="000F5046">
        <w:rPr>
          <w:rFonts w:ascii="Cambria" w:hAnsi="Cambria"/>
          <w:sz w:val="24"/>
          <w:szCs w:val="24"/>
        </w:rPr>
        <w:t>У складу са претходно дефинисаним средњоро</w:t>
      </w:r>
      <w:r>
        <w:rPr>
          <w:rFonts w:ascii="Cambria" w:hAnsi="Cambria"/>
          <w:sz w:val="24"/>
          <w:szCs w:val="24"/>
        </w:rPr>
        <w:t>чним и специфичним (оперативним</w:t>
      </w:r>
      <w:r w:rsidRPr="000F5046">
        <w:rPr>
          <w:rFonts w:ascii="Cambria" w:hAnsi="Cambria"/>
          <w:sz w:val="24"/>
          <w:szCs w:val="24"/>
        </w:rPr>
        <w:t>) циљем, одређени су програми и про</w:t>
      </w:r>
      <w:r w:rsidR="00711AA0">
        <w:rPr>
          <w:rFonts w:ascii="Cambria" w:hAnsi="Cambria"/>
          <w:sz w:val="24"/>
          <w:szCs w:val="24"/>
        </w:rPr>
        <w:t>јекти за његову имплементацију - табела</w:t>
      </w:r>
      <w:r w:rsidRPr="000F5046">
        <w:rPr>
          <w:rFonts w:ascii="Cambria" w:hAnsi="Cambria"/>
          <w:sz w:val="24"/>
          <w:szCs w:val="24"/>
        </w:rPr>
        <w:t xml:space="preserve"> бр. 1.</w:t>
      </w:r>
    </w:p>
    <w:p w:rsidR="00A73C08" w:rsidRPr="000F5046" w:rsidRDefault="00A73C08" w:rsidP="00A73C08">
      <w:pPr>
        <w:spacing w:after="0"/>
        <w:jc w:val="both"/>
        <w:rPr>
          <w:rFonts w:ascii="Cambria" w:hAnsi="Cambria"/>
          <w:sz w:val="24"/>
          <w:szCs w:val="24"/>
        </w:rPr>
      </w:pPr>
    </w:p>
    <w:p w:rsidR="00AF72F4" w:rsidRPr="00AF72F4" w:rsidRDefault="00AF72F4" w:rsidP="00A73C08">
      <w:r w:rsidRPr="000F5046">
        <w:rPr>
          <w:rFonts w:ascii="Cambria" w:hAnsi="Cambria"/>
          <w:sz w:val="24"/>
          <w:szCs w:val="24"/>
        </w:rPr>
        <w:t>Табела бр.1: Преглед пројеката и пројектних акт</w:t>
      </w:r>
      <w:r>
        <w:rPr>
          <w:rFonts w:ascii="Cambria" w:hAnsi="Cambria"/>
          <w:sz w:val="24"/>
          <w:szCs w:val="24"/>
        </w:rPr>
        <w:t>ивности Агенције, у периоду 2019. до 2021</w:t>
      </w:r>
      <w:r w:rsidRPr="000F5046">
        <w:rPr>
          <w:rFonts w:ascii="Cambria" w:hAnsi="Cambria"/>
          <w:sz w:val="24"/>
          <w:szCs w:val="24"/>
        </w:rPr>
        <w:t>. године</w:t>
      </w:r>
      <w:r w:rsidR="0021050E" w:rsidRPr="000F5046">
        <w:rPr>
          <w:rFonts w:ascii="Cambria" w:hAnsi="Cambria"/>
          <w:sz w:val="24"/>
          <w:szCs w:val="24"/>
        </w:rPr>
        <w:t>,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200"/>
        <w:gridCol w:w="5596"/>
      </w:tblGrid>
      <w:tr w:rsidR="0021050E" w:rsidRPr="0021050E" w:rsidTr="009D3AA8">
        <w:trPr>
          <w:trHeight w:val="7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1050E" w:rsidRPr="009D3AA8" w:rsidRDefault="009D3AA8" w:rsidP="009D3AA8">
            <w:pPr>
              <w:jc w:val="center"/>
            </w:pPr>
            <w:r w:rsidRPr="0021050E">
              <w:rPr>
                <w:rFonts w:ascii="Cambria" w:hAnsi="Cambria"/>
                <w:b/>
                <w:bCs/>
                <w:i/>
                <w:sz w:val="23"/>
                <w:szCs w:val="23"/>
              </w:rPr>
              <w:t>Пројекти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1050E" w:rsidRPr="009D3AA8" w:rsidRDefault="009D3AA8" w:rsidP="009D3AA8">
            <w:pPr>
              <w:jc w:val="center"/>
            </w:pPr>
            <w:r w:rsidRPr="0021050E">
              <w:rPr>
                <w:rFonts w:ascii="Cambria" w:hAnsi="Cambria"/>
                <w:b/>
                <w:bCs/>
                <w:i/>
                <w:sz w:val="23"/>
                <w:szCs w:val="23"/>
              </w:rPr>
              <w:t>Пројектне активности</w:t>
            </w:r>
          </w:p>
        </w:tc>
      </w:tr>
      <w:tr w:rsidR="00A14F15" w:rsidRPr="0021050E" w:rsidTr="002713E4">
        <w:trPr>
          <w:trHeight w:val="1523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15" w:rsidRDefault="00A14F15" w:rsidP="00405621">
            <w:pPr>
              <w:pStyle w:val="ListParagraph"/>
              <w:numPr>
                <w:ilvl w:val="0"/>
                <w:numId w:val="32"/>
              </w:numPr>
              <w:ind w:left="357"/>
            </w:pPr>
            <w:r w:rsidRPr="00405621">
              <w:rPr>
                <w:rFonts w:ascii="Cambria" w:eastAsia="Cambria" w:hAnsi="Cambria" w:cs="Cambria"/>
                <w:b/>
                <w:bCs/>
                <w:i/>
                <w:iCs/>
                <w:color w:val="000000"/>
                <w:sz w:val="23"/>
                <w:szCs w:val="23"/>
              </w:rPr>
              <w:t>Унапређење постојећих и увођење нових функционалности система е набавки уз припадајући законодавни оквир</w:t>
            </w:r>
          </w:p>
          <w:p w:rsidR="00A14F15" w:rsidRPr="00405621" w:rsidRDefault="00A14F15" w:rsidP="00405621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15" w:rsidRPr="00334EC7" w:rsidRDefault="00A14F15" w:rsidP="00424059">
            <w:pPr>
              <w:spacing w:after="0" w:line="240" w:lineRule="auto"/>
              <w:ind w:hanging="14"/>
              <w:jc w:val="both"/>
              <w:rPr>
                <w:rFonts w:ascii="Cambria" w:eastAsia="Times New Roman" w:hAnsi="Cambria" w:cs="Times New Roman"/>
                <w:color w:val="000000"/>
                <w:sz w:val="23"/>
                <w:szCs w:val="23"/>
                <w:lang w:val="sr-Cyrl-BA"/>
              </w:rPr>
            </w:pPr>
            <w:r w:rsidRPr="0021050E"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  <w:t xml:space="preserve">1.1. </w:t>
            </w:r>
            <w:r w:rsidRPr="00A14F15"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  <w:lang w:val="sr-Cyrl-BA"/>
              </w:rPr>
              <w:t xml:space="preserve">Пуштање у продукцију модула за </w:t>
            </w:r>
            <w:r w:rsidR="00424059"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  <w:lang w:val="sr-Cyrl-BA"/>
              </w:rPr>
              <w:t>електронско достављање понуда, те електронс</w:t>
            </w:r>
            <w:r w:rsidRPr="00A14F15"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  <w:lang w:val="sr-Cyrl-BA"/>
              </w:rPr>
              <w:t>ко отварање и евалуацију поступака јавних набавки</w:t>
            </w:r>
          </w:p>
        </w:tc>
      </w:tr>
      <w:tr w:rsidR="00A14F15" w:rsidRPr="0021050E" w:rsidTr="002713E4">
        <w:trPr>
          <w:trHeight w:val="1350"/>
        </w:trPr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15" w:rsidRPr="0021050E" w:rsidRDefault="00A14F15" w:rsidP="0040562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15" w:rsidRPr="00334EC7" w:rsidRDefault="00A14F15" w:rsidP="0042405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3"/>
                <w:szCs w:val="23"/>
                <w:lang w:val="sr-Cyrl-BA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  <w:t>1.2</w:t>
            </w:r>
            <w:r w:rsidRPr="0021050E"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  <w:t xml:space="preserve">.  </w:t>
            </w:r>
            <w:r w:rsidRPr="00A14F15"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  <w:lang w:val="sr-Cyrl-BA"/>
              </w:rPr>
              <w:t>Отварање података у јавним набавкама</w:t>
            </w:r>
          </w:p>
        </w:tc>
      </w:tr>
      <w:tr w:rsidR="00A14F15" w:rsidRPr="0021050E" w:rsidTr="002713E4">
        <w:trPr>
          <w:trHeight w:val="1350"/>
        </w:trPr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F15" w:rsidRPr="0021050E" w:rsidRDefault="00A14F15" w:rsidP="0040562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5" w:rsidRDefault="00A14F15" w:rsidP="0042405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  <w:t>1.3.</w:t>
            </w:r>
            <w:r>
              <w:t xml:space="preserve"> </w:t>
            </w:r>
            <w:r w:rsidRPr="00A14F15"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  <w:t>Развој модула на Порталу јавних набавки које би користиле ревизије пословања институција на свим нивоима у БиХ</w:t>
            </w:r>
          </w:p>
        </w:tc>
      </w:tr>
      <w:tr w:rsidR="00A14F15" w:rsidRPr="0021050E" w:rsidTr="002713E4">
        <w:trPr>
          <w:trHeight w:val="1350"/>
        </w:trPr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F15" w:rsidRPr="0021050E" w:rsidRDefault="00A14F15" w:rsidP="0040562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5" w:rsidRDefault="00A14F15" w:rsidP="0042405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  <w:t>1.4.</w:t>
            </w:r>
            <w:r>
              <w:t xml:space="preserve"> </w:t>
            </w:r>
            <w:r w:rsidRPr="00A14F15"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  <w:t>Успостављање властитог информационог система за управљање процесом организације и извођења обука из области јавних набавки</w:t>
            </w:r>
          </w:p>
        </w:tc>
      </w:tr>
      <w:tr w:rsidR="00A14F15" w:rsidRPr="0021050E" w:rsidTr="00424059">
        <w:trPr>
          <w:trHeight w:val="1350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15" w:rsidRPr="0021050E" w:rsidRDefault="00A14F15" w:rsidP="0040562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15" w:rsidRDefault="00A14F15" w:rsidP="0042405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  <w:t>1.5.</w:t>
            </w:r>
            <w:r>
              <w:t xml:space="preserve"> </w:t>
            </w:r>
            <w:r w:rsidRPr="00A14F15"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  <w:t>Почетак активности на успостављању Динамичког система куповине</w:t>
            </w:r>
          </w:p>
        </w:tc>
      </w:tr>
      <w:tr w:rsidR="0021050E" w:rsidRPr="0021050E" w:rsidTr="00424059">
        <w:trPr>
          <w:trHeight w:val="135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C7" w:rsidRDefault="00334EC7" w:rsidP="00334EC7">
            <w:pP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21050E" w:rsidRPr="00424059" w:rsidRDefault="00405621" w:rsidP="00424059">
            <w:pPr>
              <w:pStyle w:val="ListParagraph"/>
              <w:numPr>
                <w:ilvl w:val="0"/>
                <w:numId w:val="33"/>
              </w:numPr>
              <w:ind w:left="357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334EC7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Обука  </w:t>
            </w:r>
            <w:r w:rsidR="00334EC7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3"/>
                <w:szCs w:val="23"/>
                <w:lang w:val="sr-Cyrl-BA"/>
              </w:rPr>
              <w:t>службеника за јавне набавке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E" w:rsidRPr="00334EC7" w:rsidRDefault="0021050E" w:rsidP="00711AA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  <w:lang w:val="sr-Cyrl-BA"/>
              </w:rPr>
            </w:pPr>
            <w:r w:rsidRPr="0021050E"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</w:rPr>
              <w:t xml:space="preserve">2.1. </w:t>
            </w:r>
            <w:r w:rsidR="00711AA0">
              <w:rPr>
                <w:rFonts w:ascii="Cambria" w:eastAsia="Times New Roman" w:hAnsi="Cambria" w:cs="Times New Roman"/>
                <w:bCs/>
                <w:color w:val="000000"/>
                <w:sz w:val="23"/>
                <w:szCs w:val="23"/>
                <w:lang w:val="sr-Cyrl-BA"/>
              </w:rPr>
              <w:t>Изградња система обука</w:t>
            </w:r>
          </w:p>
        </w:tc>
      </w:tr>
      <w:tr w:rsidR="0021050E" w:rsidRPr="0021050E" w:rsidTr="00424059">
        <w:trPr>
          <w:trHeight w:val="135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C7" w:rsidRDefault="00334EC7">
            <w:pPr>
              <w:rPr>
                <w:rFonts w:ascii="Cambria" w:eastAsia="Cambria" w:hAnsi="Cambria" w:cs="Cambria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334EC7" w:rsidRDefault="00334EC7" w:rsidP="00334EC7">
            <w:pPr>
              <w:pStyle w:val="ListParagraph"/>
              <w:numPr>
                <w:ilvl w:val="0"/>
                <w:numId w:val="33"/>
              </w:numPr>
              <w:ind w:left="357"/>
            </w:pPr>
            <w:r w:rsidRPr="00334EC7">
              <w:rPr>
                <w:rFonts w:ascii="Cambria" w:eastAsia="Cambria" w:hAnsi="Cambria" w:cs="Cambria"/>
                <w:b/>
                <w:bCs/>
                <w:i/>
                <w:iCs/>
                <w:color w:val="000000"/>
                <w:sz w:val="23"/>
                <w:szCs w:val="23"/>
              </w:rPr>
              <w:t>Праћење поступака јавних набавки по изворима праћења</w:t>
            </w:r>
          </w:p>
          <w:p w:rsidR="0021050E" w:rsidRPr="0021050E" w:rsidRDefault="0021050E" w:rsidP="00405621">
            <w:pPr>
              <w:spacing w:after="0" w:line="240" w:lineRule="auto"/>
              <w:ind w:left="216" w:hanging="216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E" w:rsidRPr="000D0B15" w:rsidRDefault="0021050E" w:rsidP="00424059">
            <w:pPr>
              <w:jc w:val="both"/>
            </w:pPr>
            <w:r w:rsidRPr="0021050E"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  <w:t xml:space="preserve">3.1. </w:t>
            </w:r>
            <w:r w:rsidR="00334EC7" w:rsidRPr="0021050E"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  <w:t>Успостављање система праћења поступака јавних набавки и покретање прекршајних пријава по службеној дужности</w:t>
            </w:r>
          </w:p>
        </w:tc>
      </w:tr>
    </w:tbl>
    <w:p w:rsidR="00A73C08" w:rsidRDefault="00A73C08" w:rsidP="00334EC7">
      <w:pPr>
        <w:spacing w:line="360" w:lineRule="auto"/>
        <w:jc w:val="both"/>
        <w:rPr>
          <w:rFonts w:ascii="Cambria" w:hAnsi="Cambria"/>
        </w:rPr>
      </w:pPr>
    </w:p>
    <w:p w:rsidR="00334EC7" w:rsidRPr="000F5046" w:rsidRDefault="00334EC7" w:rsidP="00A73C08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Приоритетне активности  у 2019</w:t>
      </w:r>
      <w:r w:rsidRPr="000F5046">
        <w:rPr>
          <w:rFonts w:ascii="Cambria" w:hAnsi="Cambria"/>
          <w:b/>
          <w:i/>
          <w:sz w:val="24"/>
          <w:szCs w:val="24"/>
        </w:rPr>
        <w:t>.  години  у оквиру наведених пројеката и циљева су:</w:t>
      </w:r>
    </w:p>
    <w:p w:rsidR="00334EC7" w:rsidRPr="00EA1484" w:rsidRDefault="006E403A" w:rsidP="00A73C0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Приоритетне активности за 2019</w:t>
      </w:r>
      <w:r w:rsidR="00334EC7" w:rsidRPr="000F5046">
        <w:rPr>
          <w:rFonts w:ascii="Cambria" w:hAnsi="Cambria"/>
          <w:sz w:val="24"/>
          <w:szCs w:val="24"/>
        </w:rPr>
        <w:t>.</w:t>
      </w:r>
      <w:r w:rsidR="009E159C">
        <w:rPr>
          <w:rFonts w:ascii="Cambria" w:hAnsi="Cambria"/>
          <w:sz w:val="24"/>
          <w:szCs w:val="24"/>
          <w:lang w:val="sr-Cyrl-BA"/>
        </w:rPr>
        <w:t xml:space="preserve"> </w:t>
      </w:r>
      <w:r w:rsidR="00334EC7" w:rsidRPr="000F5046">
        <w:rPr>
          <w:rFonts w:ascii="Cambria" w:hAnsi="Cambria"/>
          <w:sz w:val="24"/>
          <w:szCs w:val="24"/>
        </w:rPr>
        <w:t>годину Сектор за информационе технологије, финансијске и опште послове и Сектор за правне послове и послове обуке и анализе су дате кроз пројектне активности, прије свега се односе на:</w:t>
      </w:r>
    </w:p>
    <w:p w:rsidR="00334EC7" w:rsidRPr="007D0326" w:rsidRDefault="00334EC7" w:rsidP="00A73C08">
      <w:pPr>
        <w:pStyle w:val="ListParagraph"/>
        <w:numPr>
          <w:ilvl w:val="0"/>
          <w:numId w:val="20"/>
        </w:numPr>
        <w:jc w:val="both"/>
        <w:rPr>
          <w:rFonts w:ascii="Cambria" w:hAnsi="Cambria"/>
          <w:b/>
          <w:i/>
          <w:sz w:val="24"/>
          <w:szCs w:val="24"/>
        </w:rPr>
      </w:pPr>
      <w:r w:rsidRPr="000F5046">
        <w:rPr>
          <w:rFonts w:ascii="Cambria" w:hAnsi="Cambria"/>
          <w:b/>
          <w:i/>
          <w:sz w:val="24"/>
          <w:szCs w:val="24"/>
        </w:rPr>
        <w:t>Развој и пуштање у рад нових сервиса за е-набавке</w:t>
      </w:r>
    </w:p>
    <w:p w:rsidR="005C1AB4" w:rsidRPr="000F5046" w:rsidRDefault="00630BF0" w:rsidP="00A73C08">
      <w:pPr>
        <w:pStyle w:val="ListParagraph"/>
        <w:numPr>
          <w:ilvl w:val="1"/>
          <w:numId w:val="20"/>
        </w:numPr>
        <w:jc w:val="both"/>
        <w:rPr>
          <w:rFonts w:ascii="Cambria" w:hAnsi="Cambria"/>
          <w:sz w:val="24"/>
          <w:szCs w:val="24"/>
        </w:rPr>
      </w:pPr>
      <w:r w:rsidRPr="00630BF0">
        <w:rPr>
          <w:rFonts w:ascii="Cambria" w:hAnsi="Cambria"/>
          <w:b/>
          <w:i/>
          <w:sz w:val="24"/>
          <w:szCs w:val="24"/>
        </w:rPr>
        <w:t>Пуштање у продукци</w:t>
      </w:r>
      <w:r w:rsidR="00424059">
        <w:rPr>
          <w:rFonts w:ascii="Cambria" w:hAnsi="Cambria"/>
          <w:b/>
          <w:i/>
          <w:sz w:val="24"/>
          <w:szCs w:val="24"/>
        </w:rPr>
        <w:t>ју модула за електрон</w:t>
      </w:r>
      <w:r w:rsidR="00424059">
        <w:rPr>
          <w:rFonts w:ascii="Cambria" w:hAnsi="Cambria"/>
          <w:b/>
          <w:i/>
          <w:sz w:val="24"/>
          <w:szCs w:val="24"/>
          <w:lang w:val="sr-Cyrl-BA"/>
        </w:rPr>
        <w:t>с</w:t>
      </w:r>
      <w:r w:rsidR="00424059">
        <w:rPr>
          <w:rFonts w:ascii="Cambria" w:hAnsi="Cambria"/>
          <w:b/>
          <w:i/>
          <w:sz w:val="24"/>
          <w:szCs w:val="24"/>
        </w:rPr>
        <w:t>ко доста</w:t>
      </w:r>
      <w:r w:rsidR="00424059">
        <w:rPr>
          <w:rFonts w:ascii="Cambria" w:hAnsi="Cambria"/>
          <w:b/>
          <w:i/>
          <w:sz w:val="24"/>
          <w:szCs w:val="24"/>
          <w:lang w:val="sr-Cyrl-BA"/>
        </w:rPr>
        <w:t>вљање</w:t>
      </w:r>
      <w:r w:rsidR="00424059">
        <w:rPr>
          <w:rFonts w:ascii="Cambria" w:hAnsi="Cambria"/>
          <w:b/>
          <w:i/>
          <w:sz w:val="24"/>
          <w:szCs w:val="24"/>
        </w:rPr>
        <w:t xml:space="preserve"> понуда, те електронс</w:t>
      </w:r>
      <w:r w:rsidRPr="00630BF0">
        <w:rPr>
          <w:rFonts w:ascii="Cambria" w:hAnsi="Cambria"/>
          <w:b/>
          <w:i/>
          <w:sz w:val="24"/>
          <w:szCs w:val="24"/>
        </w:rPr>
        <w:t xml:space="preserve">ко отварање и евалуацију поступака јавних набавки </w:t>
      </w:r>
      <w:r w:rsidR="00424059">
        <w:rPr>
          <w:rFonts w:ascii="Cambria" w:hAnsi="Cambria"/>
          <w:sz w:val="24"/>
          <w:szCs w:val="24"/>
        </w:rPr>
        <w:t>Усвајањем Правилника о електронс</w:t>
      </w:r>
      <w:r w:rsidRPr="00630BF0">
        <w:rPr>
          <w:rFonts w:ascii="Cambria" w:hAnsi="Cambria"/>
          <w:sz w:val="24"/>
          <w:szCs w:val="24"/>
        </w:rPr>
        <w:t xml:space="preserve">ким набавкама нове функционалности система за е-Набавке би биле пуштене у продукцију </w:t>
      </w:r>
      <w:r w:rsidR="00424059">
        <w:rPr>
          <w:rFonts w:ascii="Cambria" w:hAnsi="Cambria"/>
          <w:sz w:val="24"/>
          <w:szCs w:val="24"/>
        </w:rPr>
        <w:t>уз припремљен приручник за кори</w:t>
      </w:r>
      <w:r w:rsidRPr="00630BF0">
        <w:rPr>
          <w:rFonts w:ascii="Cambria" w:hAnsi="Cambria"/>
          <w:sz w:val="24"/>
          <w:szCs w:val="24"/>
        </w:rPr>
        <w:t>штење истих, те интензивну техничку подршку крајњим корисницима, односно уговорним органима и понуђачима</w:t>
      </w:r>
      <w:r w:rsidR="009A045A" w:rsidRPr="000F5046">
        <w:rPr>
          <w:rFonts w:ascii="Cambria" w:hAnsi="Cambria"/>
          <w:sz w:val="24"/>
          <w:szCs w:val="24"/>
        </w:rPr>
        <w:t>;</w:t>
      </w:r>
    </w:p>
    <w:p w:rsidR="00A52B88" w:rsidRPr="000F5046" w:rsidRDefault="00A52B88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:rsidR="000D0B15" w:rsidRDefault="00630BF0" w:rsidP="00A73C08">
      <w:pPr>
        <w:pStyle w:val="ListParagraph"/>
        <w:numPr>
          <w:ilvl w:val="1"/>
          <w:numId w:val="20"/>
        </w:numPr>
        <w:jc w:val="both"/>
        <w:rPr>
          <w:rFonts w:ascii="Cambria" w:hAnsi="Cambria"/>
          <w:sz w:val="24"/>
          <w:szCs w:val="24"/>
        </w:rPr>
      </w:pPr>
      <w:r w:rsidRPr="00630BF0">
        <w:rPr>
          <w:rFonts w:ascii="Cambria" w:eastAsia="Calibri" w:hAnsi="Cambria" w:cs="Times New Roman"/>
          <w:b/>
          <w:i/>
          <w:sz w:val="24"/>
          <w:szCs w:val="24"/>
          <w:lang w:eastAsia="en-US"/>
        </w:rPr>
        <w:t xml:space="preserve">Отварање података у јавним набавкама </w:t>
      </w:r>
      <w:r w:rsidRPr="00630BF0">
        <w:rPr>
          <w:rFonts w:ascii="Cambria" w:eastAsia="Calibri" w:hAnsi="Cambria" w:cs="Times New Roman"/>
          <w:sz w:val="24"/>
          <w:szCs w:val="24"/>
          <w:lang w:eastAsia="en-US"/>
        </w:rPr>
        <w:t xml:space="preserve">које би подразумијевало развој странице система путем којих би подаци могли бити преузети од стране других апликација (дакле, морају бити у машински-читљивом формату; добављиви путем </w:t>
      </w:r>
      <w:r w:rsidRPr="00630BF0">
        <w:rPr>
          <w:rFonts w:ascii="Cambria" w:eastAsia="Calibri" w:hAnsi="Cambria" w:cs="Times New Roman"/>
          <w:i/>
          <w:iCs/>
          <w:sz w:val="24"/>
          <w:szCs w:val="24"/>
          <w:lang w:eastAsia="en-US"/>
        </w:rPr>
        <w:t>wеб сервиса</w:t>
      </w:r>
      <w:r w:rsidRPr="00630BF0">
        <w:rPr>
          <w:rFonts w:ascii="Cambria" w:eastAsia="Calibri" w:hAnsi="Cambria" w:cs="Times New Roman"/>
          <w:sz w:val="24"/>
          <w:szCs w:val="24"/>
          <w:lang w:eastAsia="en-US"/>
        </w:rPr>
        <w:t xml:space="preserve">) односно кроз неку страницу за претрагу по временским оквирима и могућношћу </w:t>
      </w:r>
      <w:r w:rsidR="00A14F15">
        <w:rPr>
          <w:rFonts w:ascii="Cambria" w:eastAsia="Calibri" w:hAnsi="Cambria" w:cs="Times New Roman"/>
          <w:sz w:val="24"/>
          <w:szCs w:val="24"/>
          <w:lang w:eastAsia="en-US"/>
        </w:rPr>
        <w:t>download</w:t>
      </w:r>
      <w:r w:rsidRPr="00630BF0">
        <w:rPr>
          <w:rFonts w:ascii="Cambria" w:eastAsia="Calibri" w:hAnsi="Cambria" w:cs="Times New Roman"/>
          <w:sz w:val="24"/>
          <w:szCs w:val="24"/>
          <w:lang w:eastAsia="en-US"/>
        </w:rPr>
        <w:t xml:space="preserve">-а генерисаних </w:t>
      </w:r>
      <w:r w:rsidR="00A14F15">
        <w:rPr>
          <w:rFonts w:ascii="Cambria" w:eastAsia="Calibri" w:hAnsi="Cambria" w:cs="Times New Roman"/>
          <w:i/>
          <w:iCs/>
          <w:sz w:val="24"/>
          <w:szCs w:val="24"/>
          <w:lang w:eastAsia="en-US"/>
        </w:rPr>
        <w:t>dataset</w:t>
      </w:r>
      <w:r w:rsidRPr="00630BF0">
        <w:rPr>
          <w:rFonts w:ascii="Cambria" w:eastAsia="Calibri" w:hAnsi="Cambria" w:cs="Times New Roman"/>
          <w:sz w:val="24"/>
          <w:szCs w:val="24"/>
          <w:lang w:eastAsia="en-US"/>
        </w:rPr>
        <w:t>-ове у ЦСВ (табличном) формату за мануелну обраду од стране заинтересованих појединаца и организација попут организација цивилног друштва, новинара, академских радника, компанија.</w:t>
      </w:r>
      <w:r w:rsidR="00424059">
        <w:rPr>
          <w:rFonts w:ascii="Cambria" w:eastAsia="Calibri" w:hAnsi="Cambria" w:cs="Times New Roman"/>
          <w:sz w:val="24"/>
          <w:szCs w:val="24"/>
          <w:lang w:val="sr-Cyrl-BA" w:eastAsia="en-US"/>
        </w:rPr>
        <w:t xml:space="preserve"> </w:t>
      </w:r>
      <w:r w:rsidRPr="00630BF0">
        <w:rPr>
          <w:rFonts w:ascii="Cambria" w:eastAsia="Times New Roman" w:hAnsi="Cambria" w:cs="Times New Roman"/>
          <w:lang w:eastAsia="en-US"/>
        </w:rPr>
        <w:t xml:space="preserve">Ово би </w:t>
      </w:r>
      <w:r w:rsidRPr="00630BF0">
        <w:rPr>
          <w:rFonts w:ascii="Cambria" w:eastAsia="Times New Roman" w:hAnsi="Cambria" w:cs="Times New Roman"/>
          <w:sz w:val="24"/>
          <w:szCs w:val="24"/>
          <w:lang w:eastAsia="en-US"/>
        </w:rPr>
        <w:t xml:space="preserve">омогућило транспарентност јавног сектора у области </w:t>
      </w:r>
      <w:r w:rsidR="00424059">
        <w:rPr>
          <w:rFonts w:ascii="Cambria" w:eastAsia="Times New Roman" w:hAnsi="Cambria" w:cs="Times New Roman"/>
          <w:sz w:val="24"/>
          <w:szCs w:val="24"/>
          <w:lang w:val="sr-Cyrl-BA" w:eastAsia="en-US"/>
        </w:rPr>
        <w:t>потрошње</w:t>
      </w:r>
      <w:r w:rsidRPr="00630BF0">
        <w:rPr>
          <w:rFonts w:ascii="Cambria" w:eastAsia="Times New Roman" w:hAnsi="Cambria" w:cs="Times New Roman"/>
          <w:sz w:val="24"/>
          <w:szCs w:val="24"/>
          <w:lang w:eastAsia="en-US"/>
        </w:rPr>
        <w:t xml:space="preserve"> јавних средстава, што значајно утиче на јачање интегритета и одговорности у поступању организација јавног сектора</w:t>
      </w:r>
      <w:r w:rsidR="000D0B15" w:rsidRPr="00041BBA">
        <w:rPr>
          <w:rFonts w:ascii="Cambria" w:hAnsi="Cambria"/>
          <w:sz w:val="24"/>
          <w:szCs w:val="24"/>
        </w:rPr>
        <w:t>.</w:t>
      </w:r>
    </w:p>
    <w:p w:rsidR="00630BF0" w:rsidRPr="00630BF0" w:rsidRDefault="00630BF0" w:rsidP="00A73C08">
      <w:pPr>
        <w:pStyle w:val="ListParagraph"/>
        <w:rPr>
          <w:rFonts w:ascii="Cambria" w:hAnsi="Cambria"/>
          <w:sz w:val="24"/>
          <w:szCs w:val="24"/>
        </w:rPr>
      </w:pPr>
    </w:p>
    <w:p w:rsidR="00630BF0" w:rsidRPr="00630BF0" w:rsidRDefault="00630BF0" w:rsidP="00A73C08">
      <w:pPr>
        <w:pStyle w:val="ListParagraph"/>
        <w:numPr>
          <w:ilvl w:val="1"/>
          <w:numId w:val="20"/>
        </w:numPr>
        <w:jc w:val="both"/>
        <w:rPr>
          <w:rFonts w:ascii="Cambria" w:hAnsi="Cambria"/>
          <w:b/>
          <w:i/>
          <w:sz w:val="24"/>
          <w:szCs w:val="24"/>
        </w:rPr>
      </w:pPr>
      <w:r w:rsidRPr="00630BF0">
        <w:rPr>
          <w:rFonts w:ascii="Cambria" w:hAnsi="Cambria"/>
          <w:b/>
          <w:i/>
          <w:sz w:val="24"/>
          <w:szCs w:val="24"/>
        </w:rPr>
        <w:t>Развој модула на Порталу јавних набавки које би користиле ревизије пословања институција на свим нивоима у БиХ</w:t>
      </w:r>
    </w:p>
    <w:p w:rsidR="00630BF0" w:rsidRDefault="00630BF0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  <w:r w:rsidRPr="00630BF0">
        <w:rPr>
          <w:rFonts w:ascii="Cambria" w:hAnsi="Cambria"/>
          <w:sz w:val="24"/>
          <w:szCs w:val="24"/>
        </w:rPr>
        <w:t>Увођење</w:t>
      </w:r>
      <w:r w:rsidR="00424059">
        <w:rPr>
          <w:rFonts w:ascii="Cambria" w:hAnsi="Cambria"/>
          <w:sz w:val="24"/>
          <w:szCs w:val="24"/>
        </w:rPr>
        <w:t xml:space="preserve">м модула за </w:t>
      </w:r>
      <w:r w:rsidR="00424059">
        <w:rPr>
          <w:rFonts w:ascii="Cambria" w:hAnsi="Cambria"/>
          <w:sz w:val="24"/>
          <w:szCs w:val="24"/>
          <w:lang w:val="sr-Cyrl-BA"/>
        </w:rPr>
        <w:t>Канцеларије/Уреде</w:t>
      </w:r>
      <w:r w:rsidR="00424059">
        <w:rPr>
          <w:rFonts w:ascii="Cambria" w:hAnsi="Cambria"/>
          <w:sz w:val="24"/>
          <w:szCs w:val="24"/>
        </w:rPr>
        <w:t xml:space="preserve"> за ревизију п</w:t>
      </w:r>
      <w:r w:rsidRPr="00630BF0">
        <w:rPr>
          <w:rFonts w:ascii="Cambria" w:hAnsi="Cambria"/>
          <w:sz w:val="24"/>
          <w:szCs w:val="24"/>
        </w:rPr>
        <w:t>о</w:t>
      </w:r>
      <w:r w:rsidR="00424059">
        <w:rPr>
          <w:rFonts w:ascii="Cambria" w:hAnsi="Cambria"/>
          <w:sz w:val="24"/>
          <w:szCs w:val="24"/>
          <w:lang w:val="sr-Cyrl-BA"/>
        </w:rPr>
        <w:t>с</w:t>
      </w:r>
      <w:r w:rsidRPr="00630BF0">
        <w:rPr>
          <w:rFonts w:ascii="Cambria" w:hAnsi="Cambria"/>
          <w:sz w:val="24"/>
          <w:szCs w:val="24"/>
        </w:rPr>
        <w:t>ловања институција омогућило би се лакше и ефективније ревидирање поступака јавних набавки које проводе уговорни органи, те тиме се додатно утицало на проналазак нерегуларн</w:t>
      </w:r>
      <w:r w:rsidR="00424059">
        <w:rPr>
          <w:rFonts w:ascii="Cambria" w:hAnsi="Cambria"/>
          <w:sz w:val="24"/>
          <w:szCs w:val="24"/>
        </w:rPr>
        <w:t>ости, као и ефикасније сузбијање</w:t>
      </w:r>
      <w:r w:rsidRPr="00630BF0">
        <w:rPr>
          <w:rFonts w:ascii="Cambria" w:hAnsi="Cambria"/>
          <w:sz w:val="24"/>
          <w:szCs w:val="24"/>
        </w:rPr>
        <w:t xml:space="preserve"> потенцијалне корупције.</w:t>
      </w:r>
    </w:p>
    <w:p w:rsidR="00A14F15" w:rsidRDefault="00A14F15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:rsidR="00A14F15" w:rsidRPr="00A14F15" w:rsidRDefault="00A14F15" w:rsidP="00A73C08">
      <w:pPr>
        <w:pStyle w:val="ListParagraph"/>
        <w:numPr>
          <w:ilvl w:val="1"/>
          <w:numId w:val="20"/>
        </w:num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lastRenderedPageBreak/>
        <w:t>Успостав</w:t>
      </w:r>
      <w:r>
        <w:rPr>
          <w:rFonts w:ascii="Cambria" w:hAnsi="Cambria"/>
          <w:b/>
          <w:i/>
          <w:sz w:val="24"/>
          <w:szCs w:val="24"/>
          <w:lang w:val="sr-Cyrl-BA"/>
        </w:rPr>
        <w:t>љање</w:t>
      </w:r>
      <w:r w:rsidRPr="00A14F15">
        <w:rPr>
          <w:rFonts w:ascii="Cambria" w:hAnsi="Cambria"/>
          <w:b/>
          <w:i/>
          <w:sz w:val="24"/>
          <w:szCs w:val="24"/>
        </w:rPr>
        <w:t xml:space="preserve"> властитог информационог система за управљање</w:t>
      </w:r>
      <w:r>
        <w:rPr>
          <w:rFonts w:ascii="Cambria" w:hAnsi="Cambria"/>
          <w:b/>
          <w:i/>
          <w:sz w:val="24"/>
          <w:szCs w:val="24"/>
        </w:rPr>
        <w:t xml:space="preserve"> процесом организације и изв</w:t>
      </w:r>
      <w:r>
        <w:rPr>
          <w:rFonts w:ascii="Cambria" w:hAnsi="Cambria"/>
          <w:b/>
          <w:i/>
          <w:sz w:val="24"/>
          <w:szCs w:val="24"/>
          <w:lang w:val="sr-Cyrl-BA"/>
        </w:rPr>
        <w:t>ођења</w:t>
      </w:r>
      <w:r w:rsidRPr="00A14F15">
        <w:rPr>
          <w:rFonts w:ascii="Cambria" w:hAnsi="Cambria"/>
          <w:b/>
          <w:i/>
          <w:sz w:val="24"/>
          <w:szCs w:val="24"/>
        </w:rPr>
        <w:t xml:space="preserve"> обука из области јавних набавки</w:t>
      </w:r>
    </w:p>
    <w:p w:rsidR="00A14F15" w:rsidRPr="00A14F15" w:rsidRDefault="00A14F15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  <w:r w:rsidRPr="00A14F15">
        <w:rPr>
          <w:rFonts w:ascii="Cambria" w:hAnsi="Cambria"/>
          <w:sz w:val="24"/>
          <w:szCs w:val="24"/>
        </w:rPr>
        <w:t xml:space="preserve">Ступањем на снагу Правилника о обуци службеника за јавне набавке (“Службени гласник БиХ“, број 08/18) прописан је начин организовања и одржавања обука из области јавних набавки са укљученом провјером знања за службенике за јавне набавке. Правилником о обуци овлаштених предавача (за јавне набавке) (“Службени гласник БиХ“, број 62/15), додатно је прописан начин организовања и провођења обуке и усавршавања за овлаштене предаваче те </w:t>
      </w:r>
      <w:r w:rsidR="00C9672F">
        <w:rPr>
          <w:rFonts w:ascii="Cambria" w:hAnsi="Cambria"/>
          <w:sz w:val="24"/>
          <w:szCs w:val="24"/>
        </w:rPr>
        <w:t>услови за издавање и обнављање с</w:t>
      </w:r>
      <w:r w:rsidRPr="00A14F15">
        <w:rPr>
          <w:rFonts w:ascii="Cambria" w:hAnsi="Cambria"/>
          <w:sz w:val="24"/>
          <w:szCs w:val="24"/>
        </w:rPr>
        <w:t>ертификата овлаштених предавача за јавне набавке. Оба правилника захтјевају систематичан приступ организацији обуке а обим посла који Агенција за јавне набавке треба обавити у овој области, захтијева информационо-комуникациону подршку свим пословним процесима који су у вези са организацијом обука из јавних набавки.</w:t>
      </w:r>
    </w:p>
    <w:p w:rsidR="00757B20" w:rsidRDefault="00757B20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:rsidR="00A14F15" w:rsidRDefault="00757B20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Из овог разлога  ће </w:t>
      </w:r>
      <w:r>
        <w:rPr>
          <w:rFonts w:ascii="Cambria" w:hAnsi="Cambria"/>
          <w:sz w:val="24"/>
          <w:szCs w:val="24"/>
          <w:lang w:val="sr-Cyrl-BA"/>
        </w:rPr>
        <w:t>се</w:t>
      </w:r>
      <w:r w:rsidR="00A14F15" w:rsidRPr="00A14F15">
        <w:rPr>
          <w:rFonts w:ascii="Cambria" w:hAnsi="Cambria"/>
          <w:sz w:val="24"/>
          <w:szCs w:val="24"/>
        </w:rPr>
        <w:t xml:space="preserve"> направити информациони систем који б</w:t>
      </w:r>
      <w:r w:rsidR="00C9672F">
        <w:rPr>
          <w:rFonts w:ascii="Cambria" w:hAnsi="Cambria"/>
          <w:sz w:val="24"/>
          <w:szCs w:val="24"/>
        </w:rPr>
        <w:t xml:space="preserve">и требао имати функционалности </w:t>
      </w:r>
      <w:r w:rsidR="00A14F15" w:rsidRPr="00A14F15">
        <w:rPr>
          <w:rFonts w:ascii="Cambria" w:hAnsi="Cambria"/>
          <w:sz w:val="24"/>
          <w:szCs w:val="24"/>
        </w:rPr>
        <w:t xml:space="preserve">за </w:t>
      </w:r>
      <w:r w:rsidR="00A14F15">
        <w:rPr>
          <w:rFonts w:ascii="Cambria" w:hAnsi="Cambria"/>
          <w:sz w:val="24"/>
          <w:szCs w:val="24"/>
        </w:rPr>
        <w:t>online</w:t>
      </w:r>
      <w:r w:rsidR="00A14F15" w:rsidRPr="00A14F15">
        <w:rPr>
          <w:rFonts w:ascii="Cambria" w:hAnsi="Cambria"/>
          <w:sz w:val="24"/>
          <w:szCs w:val="24"/>
        </w:rPr>
        <w:t xml:space="preserve"> објаву обука са програмом обуке, електронс</w:t>
      </w:r>
      <w:r w:rsidR="00C9672F">
        <w:rPr>
          <w:rFonts w:ascii="Cambria" w:hAnsi="Cambria"/>
          <w:sz w:val="24"/>
          <w:szCs w:val="24"/>
        </w:rPr>
        <w:t>ке пријаве кандидата, издавање с</w:t>
      </w:r>
      <w:r w:rsidR="00A14F15" w:rsidRPr="00A14F15">
        <w:rPr>
          <w:rFonts w:ascii="Cambria" w:hAnsi="Cambria"/>
          <w:sz w:val="24"/>
          <w:szCs w:val="24"/>
        </w:rPr>
        <w:t xml:space="preserve">ертификата о похађању обуке у електронском формату, </w:t>
      </w:r>
      <w:r w:rsidR="00711AA0">
        <w:rPr>
          <w:rFonts w:ascii="Cambria" w:hAnsi="Cambria"/>
          <w:sz w:val="24"/>
          <w:szCs w:val="24"/>
        </w:rPr>
        <w:t>као</w:t>
      </w:r>
      <w:r w:rsidR="00A14F15" w:rsidRPr="00A14F15">
        <w:rPr>
          <w:rFonts w:ascii="Cambria" w:hAnsi="Cambria"/>
          <w:sz w:val="24"/>
          <w:szCs w:val="24"/>
        </w:rPr>
        <w:t xml:space="preserve"> спецфичне функционалности електронског тестирања кандидата у контролисаном окружењу, интеграција са базом података уговорних органа које водимо у нашем Порталу за јавне набавке у БиХ.</w:t>
      </w:r>
    </w:p>
    <w:p w:rsidR="00A14F15" w:rsidRDefault="00A14F15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:rsidR="00AF72F4" w:rsidRDefault="00A14F15" w:rsidP="00A73C08">
      <w:pPr>
        <w:pStyle w:val="ListParagraph"/>
        <w:numPr>
          <w:ilvl w:val="1"/>
          <w:numId w:val="20"/>
        </w:numPr>
        <w:jc w:val="both"/>
        <w:rPr>
          <w:rFonts w:ascii="Cambria" w:hAnsi="Cambria"/>
          <w:sz w:val="24"/>
          <w:szCs w:val="24"/>
        </w:rPr>
      </w:pPr>
      <w:r w:rsidRPr="00A14F15">
        <w:rPr>
          <w:rFonts w:ascii="Cambria" w:hAnsi="Cambria"/>
          <w:b/>
          <w:i/>
          <w:sz w:val="24"/>
          <w:szCs w:val="24"/>
        </w:rPr>
        <w:t>Почетак актив</w:t>
      </w:r>
      <w:r>
        <w:rPr>
          <w:rFonts w:ascii="Cambria" w:hAnsi="Cambria"/>
          <w:b/>
          <w:i/>
          <w:sz w:val="24"/>
          <w:szCs w:val="24"/>
        </w:rPr>
        <w:t>ности на успостављању</w:t>
      </w:r>
      <w:r w:rsidRPr="00A14F15">
        <w:rPr>
          <w:rFonts w:ascii="Cambria" w:hAnsi="Cambria"/>
          <w:b/>
          <w:i/>
          <w:sz w:val="24"/>
          <w:szCs w:val="24"/>
        </w:rPr>
        <w:t xml:space="preserve"> Динамичког система куповине</w:t>
      </w:r>
      <w:r w:rsidRPr="00A14F15">
        <w:rPr>
          <w:rFonts w:ascii="Cambria" w:hAnsi="Cambria"/>
          <w:sz w:val="24"/>
          <w:szCs w:val="24"/>
        </w:rPr>
        <w:t xml:space="preserve"> које ће се огледати у спецификацији системских захтјева за исти, те провођењу поступка набавке најповољијег добављача предметне услуге. Упоредно </w:t>
      </w:r>
      <w:r w:rsidR="00C9672F">
        <w:rPr>
          <w:rFonts w:ascii="Cambria" w:hAnsi="Cambria"/>
          <w:sz w:val="24"/>
          <w:szCs w:val="24"/>
        </w:rPr>
        <w:t>са овим активностима, припрема</w:t>
      </w:r>
      <w:r w:rsidRPr="00A14F15">
        <w:rPr>
          <w:rFonts w:ascii="Cambria" w:hAnsi="Cambria"/>
          <w:sz w:val="24"/>
          <w:szCs w:val="24"/>
        </w:rPr>
        <w:t>ће се и подзаконски акт, односно Правилник о динамичном систему куповине.</w:t>
      </w:r>
    </w:p>
    <w:p w:rsidR="00A73C08" w:rsidRPr="00A73C08" w:rsidRDefault="00A73C08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:rsidR="00CD043C" w:rsidRPr="00AF72F4" w:rsidRDefault="000D0B15" w:rsidP="00A73C08">
      <w:pPr>
        <w:pStyle w:val="ListParagraph"/>
        <w:numPr>
          <w:ilvl w:val="0"/>
          <w:numId w:val="20"/>
        </w:num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  <w:lang w:val="sr-Cyrl-BA"/>
        </w:rPr>
        <w:t>Обука службеника за јавне набавке</w:t>
      </w:r>
    </w:p>
    <w:p w:rsidR="00043C21" w:rsidRDefault="000D0B15" w:rsidP="00A73C08">
      <w:pPr>
        <w:pStyle w:val="ListParagraph"/>
        <w:numPr>
          <w:ilvl w:val="1"/>
          <w:numId w:val="20"/>
        </w:numPr>
        <w:jc w:val="both"/>
        <w:rPr>
          <w:rFonts w:ascii="Cambria" w:hAnsi="Cambria"/>
          <w:sz w:val="24"/>
          <w:szCs w:val="24"/>
        </w:rPr>
      </w:pPr>
      <w:r w:rsidRPr="000D0B15">
        <w:rPr>
          <w:rFonts w:ascii="Cambria" w:hAnsi="Cambria"/>
          <w:b/>
          <w:i/>
          <w:sz w:val="24"/>
          <w:szCs w:val="24"/>
          <w:lang w:val="sr-Cyrl-BA"/>
        </w:rPr>
        <w:t>Обука службеника за јавне набавке</w:t>
      </w:r>
      <w:r w:rsidR="000F256F" w:rsidRPr="000D0B15">
        <w:rPr>
          <w:rFonts w:ascii="Cambria" w:hAnsi="Cambria"/>
          <w:b/>
          <w:i/>
          <w:sz w:val="24"/>
          <w:szCs w:val="24"/>
        </w:rPr>
        <w:t xml:space="preserve">  </w:t>
      </w:r>
      <w:r w:rsidRPr="000D0B15">
        <w:rPr>
          <w:rFonts w:ascii="Cambria" w:hAnsi="Cambria"/>
          <w:sz w:val="24"/>
          <w:szCs w:val="24"/>
        </w:rPr>
        <w:t>је један од најважнијих сегмената у изградњи и јачању система јавних набавки у циљу постизања најефикаснијег кориштења јавних средстава. У извјештају Европске комисије (ЕК) о напретку БиХ изричито је наглашена потреба за јачањем капацитета уговорних органа</w:t>
      </w:r>
      <w:r w:rsidR="00C9672F">
        <w:rPr>
          <w:rFonts w:ascii="Cambria" w:hAnsi="Cambria"/>
          <w:sz w:val="24"/>
          <w:szCs w:val="24"/>
        </w:rPr>
        <w:t xml:space="preserve">  кроз обуку и едукацију јер се</w:t>
      </w:r>
      <w:r w:rsidRPr="000D0B15">
        <w:rPr>
          <w:rFonts w:ascii="Cambria" w:hAnsi="Cambria"/>
          <w:sz w:val="24"/>
          <w:szCs w:val="24"/>
        </w:rPr>
        <w:t xml:space="preserve"> наводи да су капацитети уговорних о</w:t>
      </w:r>
      <w:r w:rsidR="00C9672F">
        <w:rPr>
          <w:rFonts w:ascii="Cambria" w:hAnsi="Cambria"/>
          <w:sz w:val="24"/>
          <w:szCs w:val="24"/>
        </w:rPr>
        <w:t>ргана слаби, лоше организов</w:t>
      </w:r>
      <w:r w:rsidRPr="000D0B15">
        <w:rPr>
          <w:rFonts w:ascii="Cambria" w:hAnsi="Cambria"/>
          <w:sz w:val="24"/>
          <w:szCs w:val="24"/>
        </w:rPr>
        <w:t xml:space="preserve">ани и да постоји велика флуктуација </w:t>
      </w:r>
      <w:r w:rsidR="00C9672F">
        <w:rPr>
          <w:rFonts w:ascii="Cambria" w:hAnsi="Cambria"/>
          <w:sz w:val="24"/>
          <w:szCs w:val="24"/>
          <w:lang w:val="sr-Cyrl-BA"/>
        </w:rPr>
        <w:t>запослених</w:t>
      </w:r>
      <w:r w:rsidRPr="000D0B15">
        <w:rPr>
          <w:rFonts w:ascii="Cambria" w:hAnsi="Cambria"/>
          <w:sz w:val="24"/>
          <w:szCs w:val="24"/>
        </w:rPr>
        <w:t xml:space="preserve"> на пословима  јавних набавки, 30% учесника свих организованих обука први пут су присуствовали обуци што указује на потребу да се едукују лица која раде на пословима јавних набавки као кључна лица у свим уговорних органима која ће похађати континуирану обуку и пратити све аспекте јавних набавки.</w:t>
      </w:r>
    </w:p>
    <w:p w:rsidR="000D0B15" w:rsidRPr="000D0B15" w:rsidRDefault="000D0B15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:rsidR="00C16A3B" w:rsidRDefault="00C9672F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Правилник</w:t>
      </w:r>
      <w:r w:rsidR="000D0B15" w:rsidRPr="000D0B15">
        <w:rPr>
          <w:rFonts w:ascii="Cambria" w:hAnsi="Cambria"/>
          <w:sz w:val="24"/>
          <w:szCs w:val="24"/>
        </w:rPr>
        <w:t xml:space="preserve"> о об</w:t>
      </w:r>
      <w:r w:rsidR="0034270E">
        <w:rPr>
          <w:rFonts w:ascii="Cambria" w:hAnsi="Cambria"/>
          <w:sz w:val="24"/>
          <w:szCs w:val="24"/>
        </w:rPr>
        <w:t>уци службеника</w:t>
      </w:r>
      <w:r>
        <w:rPr>
          <w:rFonts w:ascii="Cambria" w:hAnsi="Cambria"/>
          <w:sz w:val="24"/>
          <w:szCs w:val="24"/>
          <w:lang w:val="sr-Cyrl-BA"/>
        </w:rPr>
        <w:t xml:space="preserve"> за јавне набавке(„Службени гласник БиХ“ број 8/18)</w:t>
      </w:r>
      <w:r w:rsidR="0034270E">
        <w:rPr>
          <w:rFonts w:ascii="Cambria" w:hAnsi="Cambria"/>
          <w:sz w:val="24"/>
          <w:szCs w:val="24"/>
          <w:lang w:val="sr-Cyrl-BA"/>
        </w:rPr>
        <w:t xml:space="preserve"> </w:t>
      </w:r>
      <w:r w:rsidR="000D0B15" w:rsidRPr="000D0B15">
        <w:rPr>
          <w:rFonts w:ascii="Cambria" w:hAnsi="Cambria"/>
          <w:sz w:val="24"/>
          <w:szCs w:val="24"/>
        </w:rPr>
        <w:t>прописује начин организовања и одржавања обука, те начин провођења провјере знања за службенике за јавне набавке</w:t>
      </w:r>
    </w:p>
    <w:p w:rsidR="000D0B15" w:rsidRDefault="000D0B15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:rsidR="000D0B15" w:rsidRDefault="000D0B15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Такође,  у току је израда  Приједлога П</w:t>
      </w:r>
      <w:r w:rsidRPr="000F5046">
        <w:rPr>
          <w:rFonts w:ascii="Cambria" w:hAnsi="Cambria"/>
          <w:sz w:val="24"/>
          <w:szCs w:val="24"/>
        </w:rPr>
        <w:t>равилник</w:t>
      </w:r>
      <w:r>
        <w:rPr>
          <w:rFonts w:ascii="Cambria" w:hAnsi="Cambria"/>
          <w:sz w:val="24"/>
          <w:szCs w:val="24"/>
        </w:rPr>
        <w:t>а</w:t>
      </w:r>
      <w:r w:rsidRPr="000F5046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о измјенама и допунама Правилника о обуци овлаштених предавача који </w:t>
      </w:r>
      <w:r w:rsidR="00C9672F">
        <w:rPr>
          <w:rFonts w:ascii="Cambria" w:hAnsi="Cambria"/>
          <w:sz w:val="24"/>
          <w:szCs w:val="24"/>
        </w:rPr>
        <w:t xml:space="preserve">прописује </w:t>
      </w:r>
      <w:r w:rsidRPr="00C16A3B">
        <w:rPr>
          <w:rFonts w:ascii="Cambria" w:hAnsi="Cambria"/>
          <w:sz w:val="24"/>
          <w:szCs w:val="24"/>
        </w:rPr>
        <w:t xml:space="preserve">начин организовања и провођења обуке и усавршавања за овлаштене предаваче те </w:t>
      </w:r>
      <w:r w:rsidR="00C9672F">
        <w:rPr>
          <w:rFonts w:ascii="Cambria" w:hAnsi="Cambria"/>
          <w:sz w:val="24"/>
          <w:szCs w:val="24"/>
        </w:rPr>
        <w:t>услови за издавање и обнављање с</w:t>
      </w:r>
      <w:r w:rsidRPr="00C16A3B">
        <w:rPr>
          <w:rFonts w:ascii="Cambria" w:hAnsi="Cambria"/>
          <w:sz w:val="24"/>
          <w:szCs w:val="24"/>
        </w:rPr>
        <w:t xml:space="preserve">ертификата овлаштеног предавача. </w:t>
      </w:r>
    </w:p>
    <w:p w:rsidR="000D0B15" w:rsidRPr="00356030" w:rsidRDefault="000D0B15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:rsidR="0034270E" w:rsidRDefault="000D0B15" w:rsidP="00A73C08">
      <w:pPr>
        <w:pStyle w:val="ListParagraph"/>
        <w:ind w:left="1134"/>
        <w:jc w:val="both"/>
        <w:rPr>
          <w:rFonts w:ascii="Cambria" w:hAnsi="Cambria"/>
          <w:sz w:val="24"/>
          <w:szCs w:val="24"/>
        </w:rPr>
      </w:pPr>
      <w:r w:rsidRPr="000D0B15">
        <w:rPr>
          <w:rFonts w:ascii="Cambria" w:hAnsi="Cambria"/>
          <w:sz w:val="24"/>
          <w:szCs w:val="24"/>
        </w:rPr>
        <w:t>Професионализација и</w:t>
      </w:r>
      <w:r w:rsidR="00C9672F">
        <w:rPr>
          <w:rFonts w:ascii="Cambria" w:hAnsi="Cambria"/>
          <w:sz w:val="24"/>
          <w:szCs w:val="24"/>
        </w:rPr>
        <w:t xml:space="preserve"> изградња капацитета у уговорним</w:t>
      </w:r>
      <w:r w:rsidRPr="000D0B15">
        <w:rPr>
          <w:rFonts w:ascii="Cambria" w:hAnsi="Cambria"/>
          <w:sz w:val="24"/>
          <w:szCs w:val="24"/>
        </w:rPr>
        <w:t xml:space="preserve"> органима и привредним субјектима је циљ Агенције  на свим нивоима власти у БиХ.  </w:t>
      </w:r>
    </w:p>
    <w:p w:rsidR="0034270E" w:rsidRDefault="0034270E" w:rsidP="00A73C08">
      <w:pPr>
        <w:pStyle w:val="ListParagraph"/>
        <w:ind w:left="1134"/>
        <w:jc w:val="both"/>
        <w:rPr>
          <w:rFonts w:ascii="Cambria" w:hAnsi="Cambria"/>
          <w:sz w:val="24"/>
          <w:szCs w:val="24"/>
        </w:rPr>
      </w:pPr>
    </w:p>
    <w:p w:rsidR="000D0B15" w:rsidRPr="000D0B15" w:rsidRDefault="000D0B15" w:rsidP="00A73C08">
      <w:pPr>
        <w:pStyle w:val="ListParagraph"/>
        <w:ind w:left="1134"/>
        <w:jc w:val="both"/>
        <w:rPr>
          <w:rFonts w:ascii="Cambria" w:hAnsi="Cambria"/>
          <w:sz w:val="24"/>
          <w:szCs w:val="24"/>
        </w:rPr>
      </w:pPr>
      <w:r w:rsidRPr="000D0B15">
        <w:rPr>
          <w:rFonts w:ascii="Cambria" w:hAnsi="Cambria"/>
          <w:sz w:val="24"/>
          <w:szCs w:val="24"/>
        </w:rPr>
        <w:t>Агенција ће у сарадњи с GIZ-ом обезбједити тренинг менаџмент систем (ТМS) који ће омогућити провођење обуке за службенике за јавне набавке и омогућити  провјеру знања истих.</w:t>
      </w:r>
    </w:p>
    <w:p w:rsidR="000D0B15" w:rsidRPr="000D0B15" w:rsidRDefault="000D0B15" w:rsidP="00A73C08">
      <w:pPr>
        <w:pStyle w:val="ListParagraph"/>
        <w:ind w:left="1134"/>
        <w:jc w:val="both"/>
        <w:rPr>
          <w:rFonts w:ascii="Cambria" w:hAnsi="Cambria"/>
          <w:sz w:val="24"/>
          <w:szCs w:val="24"/>
          <w:lang w:val="sr-Cyrl-BA"/>
        </w:rPr>
      </w:pPr>
    </w:p>
    <w:p w:rsidR="000D0B15" w:rsidRPr="000D0B15" w:rsidRDefault="000D0B15" w:rsidP="00A73C08">
      <w:pPr>
        <w:pStyle w:val="ListParagraph"/>
        <w:ind w:left="1134"/>
        <w:jc w:val="both"/>
        <w:rPr>
          <w:rFonts w:ascii="Cambria" w:hAnsi="Cambria"/>
          <w:sz w:val="24"/>
          <w:szCs w:val="24"/>
          <w:lang w:val="sr-Cyrl-BA"/>
        </w:rPr>
      </w:pPr>
      <w:r w:rsidRPr="000D0B15">
        <w:rPr>
          <w:rFonts w:ascii="Cambria" w:hAnsi="Cambria"/>
          <w:sz w:val="24"/>
          <w:szCs w:val="24"/>
          <w:lang w:val="sr-Cyrl-BA"/>
        </w:rPr>
        <w:t xml:space="preserve">Агенција планира да у оквиру </w:t>
      </w:r>
      <w:r w:rsidRPr="000D0B15">
        <w:rPr>
          <w:rFonts w:ascii="Cambria" w:hAnsi="Cambria"/>
          <w:sz w:val="24"/>
          <w:szCs w:val="24"/>
          <w:lang w:val="sr-Latn-BA"/>
        </w:rPr>
        <w:t xml:space="preserve">IPA II </w:t>
      </w:r>
      <w:r w:rsidRPr="000D0B15">
        <w:rPr>
          <w:rFonts w:ascii="Cambria" w:hAnsi="Cambria"/>
          <w:sz w:val="24"/>
          <w:szCs w:val="24"/>
          <w:lang w:val="sr-Cyrl-BA"/>
        </w:rPr>
        <w:t xml:space="preserve">Пројекта: Јачање система јавних набавки у БиХ; јачање капацитета уговорних органа, проведе обуку за око 2500 службеника за јавне набавке кроз око 85 циклуса обука. Тренутно је у фази израда </w:t>
      </w:r>
      <w:r w:rsidRPr="000D0B15">
        <w:rPr>
          <w:rFonts w:ascii="Cambria" w:hAnsi="Cambria"/>
          <w:sz w:val="24"/>
          <w:szCs w:val="24"/>
          <w:lang w:val="sr-Latn-BA"/>
        </w:rPr>
        <w:t xml:space="preserve">ToR-a </w:t>
      </w:r>
      <w:r w:rsidRPr="000D0B15">
        <w:rPr>
          <w:rFonts w:ascii="Cambria" w:hAnsi="Cambria"/>
          <w:sz w:val="24"/>
          <w:szCs w:val="24"/>
          <w:lang w:val="sr-Cyrl-BA"/>
        </w:rPr>
        <w:t>самог Пројекта.</w:t>
      </w:r>
    </w:p>
    <w:p w:rsidR="000D0B15" w:rsidRPr="000D0B15" w:rsidRDefault="000D0B15" w:rsidP="00A73C08">
      <w:pPr>
        <w:pStyle w:val="ListParagraph"/>
        <w:ind w:left="1134"/>
        <w:jc w:val="both"/>
        <w:rPr>
          <w:rFonts w:ascii="Cambria" w:hAnsi="Cambria"/>
          <w:sz w:val="24"/>
          <w:szCs w:val="24"/>
          <w:lang w:val="sr-Cyrl-BA"/>
        </w:rPr>
      </w:pPr>
    </w:p>
    <w:p w:rsidR="002F305A" w:rsidRDefault="000D0B15" w:rsidP="00A73C08">
      <w:pPr>
        <w:pStyle w:val="ListParagraph"/>
        <w:ind w:left="1134"/>
        <w:jc w:val="both"/>
        <w:rPr>
          <w:rFonts w:ascii="Cambria" w:hAnsi="Cambria"/>
          <w:sz w:val="24"/>
          <w:szCs w:val="24"/>
          <w:lang w:val="sr-Cyrl-BA"/>
        </w:rPr>
      </w:pPr>
      <w:r w:rsidRPr="000D0B15">
        <w:rPr>
          <w:rFonts w:ascii="Cambria" w:hAnsi="Cambria"/>
          <w:sz w:val="24"/>
          <w:szCs w:val="24"/>
        </w:rPr>
        <w:t>Изградњом капацитета у уговорним органима избје</w:t>
      </w:r>
      <w:r>
        <w:rPr>
          <w:rFonts w:ascii="Cambria" w:hAnsi="Cambria"/>
          <w:sz w:val="24"/>
          <w:szCs w:val="24"/>
        </w:rPr>
        <w:t xml:space="preserve">ће се дуги и сувишни поступци, </w:t>
      </w:r>
      <w:r w:rsidRPr="000D0B15">
        <w:rPr>
          <w:rFonts w:ascii="Cambria" w:hAnsi="Cambria"/>
          <w:sz w:val="24"/>
          <w:szCs w:val="24"/>
        </w:rPr>
        <w:t>губитак времена, ресурса и новца, посебно у случајевима великих инфраструктурних пројеката.</w:t>
      </w:r>
      <w:r w:rsidR="0034270E">
        <w:rPr>
          <w:rFonts w:ascii="Cambria" w:hAnsi="Cambria"/>
          <w:sz w:val="24"/>
          <w:szCs w:val="24"/>
          <w:lang w:val="sr-Cyrl-BA"/>
        </w:rPr>
        <w:t xml:space="preserve"> </w:t>
      </w:r>
    </w:p>
    <w:p w:rsidR="0034270E" w:rsidRPr="0034270E" w:rsidRDefault="0034270E" w:rsidP="00A73C08">
      <w:pPr>
        <w:pStyle w:val="ListParagraph"/>
        <w:ind w:left="1134"/>
        <w:jc w:val="both"/>
        <w:rPr>
          <w:rFonts w:ascii="Cambria" w:hAnsi="Cambria"/>
          <w:sz w:val="24"/>
          <w:szCs w:val="24"/>
          <w:lang w:val="sr-Cyrl-BA"/>
        </w:rPr>
      </w:pPr>
    </w:p>
    <w:p w:rsidR="000A1697" w:rsidRPr="00AF72F4" w:rsidRDefault="000D0B15" w:rsidP="00A73C08">
      <w:pPr>
        <w:pStyle w:val="ListParagraph"/>
        <w:numPr>
          <w:ilvl w:val="0"/>
          <w:numId w:val="20"/>
        </w:numPr>
        <w:rPr>
          <w:rFonts w:ascii="Cambria" w:hAnsi="Cambria"/>
          <w:b/>
          <w:i/>
          <w:sz w:val="24"/>
          <w:szCs w:val="24"/>
        </w:rPr>
      </w:pPr>
      <w:r w:rsidRPr="000D0B15">
        <w:rPr>
          <w:rFonts w:ascii="Cambria" w:hAnsi="Cambria"/>
          <w:b/>
          <w:i/>
          <w:sz w:val="24"/>
          <w:szCs w:val="24"/>
        </w:rPr>
        <w:t>Праћење поступака јавних набавки по изворима праћења</w:t>
      </w:r>
    </w:p>
    <w:p w:rsidR="00E821B1" w:rsidRDefault="000D0B15" w:rsidP="00A73C08">
      <w:pPr>
        <w:pStyle w:val="ListParagraph"/>
        <w:numPr>
          <w:ilvl w:val="1"/>
          <w:numId w:val="20"/>
        </w:numPr>
        <w:jc w:val="both"/>
        <w:rPr>
          <w:rFonts w:ascii="Cambria" w:hAnsi="Cambria"/>
          <w:sz w:val="24"/>
          <w:szCs w:val="24"/>
        </w:rPr>
      </w:pPr>
      <w:r w:rsidRPr="000D0B15">
        <w:rPr>
          <w:rFonts w:ascii="Cambria" w:hAnsi="Cambria"/>
          <w:sz w:val="24"/>
          <w:szCs w:val="24"/>
        </w:rPr>
        <w:t xml:space="preserve">Праћење поступака јавних набавки по изворима праћења и покретање прекршајних пријава по службеној дужности је једна од надлежности Агенције за јавне набавке Босне и Херцеговине. Европске Комисија је нагласила потребу за даљим јачањем улоге праћења АЈН, односно за даљим јачањем система праћења  у Извјештају о напретку Босне и Херцеговине за 2015. и 2016. годину. Правилник о праћењу поступака јавних набавки дефинише успостављање система праћења поступака јавне набавке, дефинише изворе праћења, критерије на основу којих се проводи праћење, тежину почињене неправилности у односу на принципе јавних набавки, директни значај праћења конкретне набавке са претходним и будућим набавкама те, поступање АЈН  у случају када се на основу извора праћења утврди да је дошло до повреде Закона и подзаконских аката, едукативне препоруке у склопу редовног годишњег извјештаја, инкорпорисање праћења јавних набавки у систем обука из области јавних набавки које врше овлаштени предавачи јавних набавки, итд. </w:t>
      </w:r>
    </w:p>
    <w:p w:rsidR="00A73C08" w:rsidRDefault="00A73C08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:rsidR="00A73C08" w:rsidRDefault="00A73C08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  <w:lang w:val="sr-Cyrl-BA"/>
        </w:rPr>
      </w:pPr>
      <w:r>
        <w:rPr>
          <w:rFonts w:ascii="Cambria" w:hAnsi="Cambria"/>
          <w:sz w:val="24"/>
          <w:szCs w:val="24"/>
          <w:lang w:val="sr-Cyrl-BA"/>
        </w:rPr>
        <w:t xml:space="preserve">У току 2019. године планира се измјена и допуна Правилника о праћењу поступака јавних набавки. </w:t>
      </w:r>
      <w:r>
        <w:rPr>
          <w:rFonts w:ascii="Cambria" w:hAnsi="Cambria"/>
          <w:sz w:val="24"/>
          <w:szCs w:val="24"/>
        </w:rPr>
        <w:t>Р</w:t>
      </w:r>
      <w:r w:rsidRPr="00A73C08">
        <w:rPr>
          <w:rFonts w:ascii="Cambria" w:hAnsi="Cambria"/>
          <w:sz w:val="24"/>
          <w:szCs w:val="24"/>
        </w:rPr>
        <w:t>азлог је у чињениц</w:t>
      </w:r>
      <w:r>
        <w:rPr>
          <w:rFonts w:ascii="Cambria" w:hAnsi="Cambria"/>
          <w:sz w:val="24"/>
          <w:szCs w:val="24"/>
          <w:lang w:val="sr-Cyrl-BA"/>
        </w:rPr>
        <w:t>а</w:t>
      </w:r>
      <w:r w:rsidRPr="00A73C08">
        <w:rPr>
          <w:rFonts w:ascii="Cambria" w:hAnsi="Cambria"/>
          <w:sz w:val="24"/>
          <w:szCs w:val="24"/>
        </w:rPr>
        <w:t xml:space="preserve"> да су Директиве из 2014 године обухват</w:t>
      </w:r>
      <w:r>
        <w:rPr>
          <w:rFonts w:ascii="Cambria" w:hAnsi="Cambria"/>
          <w:sz w:val="24"/>
          <w:szCs w:val="24"/>
        </w:rPr>
        <w:t>иле и процес мониторинга, а даљ</w:t>
      </w:r>
      <w:r w:rsidRPr="00A73C08">
        <w:rPr>
          <w:rFonts w:ascii="Cambria" w:hAnsi="Cambria"/>
          <w:sz w:val="24"/>
          <w:szCs w:val="24"/>
        </w:rPr>
        <w:t>а разрада и методологија по</w:t>
      </w:r>
      <w:r>
        <w:rPr>
          <w:rFonts w:ascii="Cambria" w:hAnsi="Cambria"/>
          <w:sz w:val="24"/>
          <w:szCs w:val="24"/>
        </w:rPr>
        <w:t xml:space="preserve"> захтјев</w:t>
      </w:r>
      <w:r w:rsidR="008379B3">
        <w:rPr>
          <w:rFonts w:ascii="Cambria" w:hAnsi="Cambria"/>
          <w:sz w:val="24"/>
          <w:szCs w:val="24"/>
          <w:lang w:val="sr-Cyrl-BA"/>
        </w:rPr>
        <w:t>и</w:t>
      </w:r>
      <w:r>
        <w:rPr>
          <w:rFonts w:ascii="Cambria" w:hAnsi="Cambria"/>
          <w:sz w:val="24"/>
          <w:szCs w:val="24"/>
        </w:rPr>
        <w:t>ма ЕУ је разрадила на д</w:t>
      </w:r>
      <w:r w:rsidRPr="00A73C08">
        <w:rPr>
          <w:rFonts w:ascii="Cambria" w:hAnsi="Cambria"/>
          <w:sz w:val="24"/>
          <w:szCs w:val="24"/>
        </w:rPr>
        <w:t>ругачији начин систем праћења. Дакле ради се о хармонизацији са Директивама ЕУ, као и реалној потреби уоченој кроз праћење претходн</w:t>
      </w:r>
      <w:r w:rsidR="008379B3">
        <w:rPr>
          <w:rFonts w:ascii="Cambria" w:hAnsi="Cambria"/>
          <w:sz w:val="24"/>
          <w:szCs w:val="24"/>
          <w:lang w:val="sr-Cyrl-BA"/>
        </w:rPr>
        <w:t>и</w:t>
      </w:r>
      <w:r w:rsidRPr="00A73C08">
        <w:rPr>
          <w:rFonts w:ascii="Cambria" w:hAnsi="Cambria"/>
          <w:sz w:val="24"/>
          <w:szCs w:val="24"/>
        </w:rPr>
        <w:t>х година</w:t>
      </w:r>
      <w:r>
        <w:rPr>
          <w:rFonts w:ascii="Cambria" w:hAnsi="Cambria"/>
          <w:sz w:val="24"/>
          <w:szCs w:val="24"/>
          <w:lang w:val="sr-Cyrl-BA"/>
        </w:rPr>
        <w:t>.</w:t>
      </w:r>
    </w:p>
    <w:p w:rsidR="00A73C08" w:rsidRPr="004060C6" w:rsidRDefault="00A73C08" w:rsidP="00A73C08">
      <w:pPr>
        <w:pStyle w:val="ListParagraph"/>
        <w:ind w:left="1080"/>
        <w:jc w:val="both"/>
        <w:rPr>
          <w:rFonts w:ascii="Cambria" w:hAnsi="Cambria"/>
          <w:sz w:val="24"/>
          <w:szCs w:val="24"/>
          <w:lang w:val="sr-Cyrl-BA"/>
        </w:rPr>
      </w:pPr>
    </w:p>
    <w:p w:rsidR="00692B9E" w:rsidRPr="00A73C08" w:rsidRDefault="00A73C08" w:rsidP="00A73C08">
      <w:pPr>
        <w:pStyle w:val="ListParagraph"/>
        <w:ind w:left="1080"/>
        <w:jc w:val="both"/>
        <w:rPr>
          <w:rFonts w:ascii="Cambria" w:hAnsi="Cambria"/>
          <w:b/>
          <w:i/>
          <w:sz w:val="24"/>
          <w:szCs w:val="24"/>
          <w:lang w:val="sr-Cyrl-BA"/>
        </w:rPr>
      </w:pPr>
      <w:r w:rsidRPr="00A73C08">
        <w:rPr>
          <w:rFonts w:ascii="Cambria" w:hAnsi="Cambria"/>
          <w:b/>
          <w:i/>
          <w:sz w:val="24"/>
          <w:szCs w:val="24"/>
          <w:lang w:val="sr-Cyrl-BA"/>
        </w:rPr>
        <w:t>Континуирана реализација Плана борбе против корупције у АЈН 2018.-2019.</w:t>
      </w:r>
    </w:p>
    <w:p w:rsidR="00A73C08" w:rsidRDefault="00A73C08" w:rsidP="009D3AA8">
      <w:pPr>
        <w:pStyle w:val="ListParagraph"/>
        <w:ind w:left="1080"/>
        <w:jc w:val="both"/>
        <w:rPr>
          <w:rFonts w:ascii="Cambria" w:hAnsi="Cambria"/>
          <w:b/>
          <w:i/>
          <w:sz w:val="24"/>
          <w:szCs w:val="24"/>
          <w:lang w:val="sr-Cyrl-BA"/>
        </w:rPr>
      </w:pPr>
      <w:r w:rsidRPr="00A73C08">
        <w:rPr>
          <w:rFonts w:ascii="Cambria" w:hAnsi="Cambria"/>
          <w:b/>
          <w:i/>
          <w:sz w:val="24"/>
          <w:szCs w:val="24"/>
          <w:lang w:val="sr-Cyrl-BA"/>
        </w:rPr>
        <w:t>Реализација и ажурирање активности утврђених Планом интегритета АЈН.</w:t>
      </w:r>
    </w:p>
    <w:p w:rsidR="009D3AA8" w:rsidRPr="009D3AA8" w:rsidRDefault="009D3AA8" w:rsidP="009D3AA8">
      <w:pPr>
        <w:pStyle w:val="ListParagraph"/>
        <w:ind w:left="1080"/>
        <w:jc w:val="both"/>
        <w:rPr>
          <w:rFonts w:ascii="Cambria" w:hAnsi="Cambria"/>
          <w:b/>
          <w:i/>
          <w:sz w:val="24"/>
          <w:szCs w:val="24"/>
          <w:lang w:val="sr-Cyrl-BA"/>
        </w:rPr>
      </w:pPr>
    </w:p>
    <w:p w:rsidR="00430102" w:rsidRPr="000F5046" w:rsidRDefault="000D0B15" w:rsidP="009F765D">
      <w:pPr>
        <w:spacing w:line="360" w:lineRule="auto"/>
        <w:jc w:val="center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  <w:lang w:val="sr-Cyrl-BA"/>
        </w:rPr>
        <w:t xml:space="preserve">ПРОЦЈЕНА МОГУЋИХ ПРОБЛЕМА И РИЗИКА У ПРОВОЂЕЊУ ПРОГРАМА РАДА </w:t>
      </w:r>
    </w:p>
    <w:p w:rsidR="00F43ED0" w:rsidRPr="006E403A" w:rsidRDefault="006E403A" w:rsidP="006E403A">
      <w:r w:rsidRPr="000F5046">
        <w:rPr>
          <w:rFonts w:ascii="Cambria" w:hAnsi="Cambria"/>
          <w:bCs/>
          <w:sz w:val="24"/>
          <w:szCs w:val="24"/>
        </w:rPr>
        <w:t>У вези провођења наведених приоритетних програмских задатака могући су сљедећи проблеми и ризици</w:t>
      </w:r>
      <w:r w:rsidR="00F43ED0" w:rsidRPr="000F5046">
        <w:rPr>
          <w:rFonts w:ascii="Cambria" w:hAnsi="Cambria"/>
          <w:bCs/>
          <w:sz w:val="24"/>
          <w:szCs w:val="24"/>
        </w:rPr>
        <w:t>:</w:t>
      </w:r>
    </w:p>
    <w:tbl>
      <w:tblPr>
        <w:tblW w:w="10454" w:type="dxa"/>
        <w:tblInd w:w="-572" w:type="dxa"/>
        <w:tblLook w:val="04A0" w:firstRow="1" w:lastRow="0" w:firstColumn="1" w:lastColumn="0" w:noHBand="0" w:noVBand="1"/>
      </w:tblPr>
      <w:tblGrid>
        <w:gridCol w:w="837"/>
        <w:gridCol w:w="1886"/>
        <w:gridCol w:w="1712"/>
        <w:gridCol w:w="3414"/>
        <w:gridCol w:w="2605"/>
      </w:tblGrid>
      <w:tr w:rsidR="006E403A" w:rsidRPr="007575C8" w:rsidTr="00AF72F4">
        <w:trPr>
          <w:trHeight w:val="105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575C8" w:rsidRPr="000F5046" w:rsidRDefault="006E403A" w:rsidP="009F765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val="sr-Cyrl-BA"/>
              </w:rPr>
              <w:t>Редни број</w:t>
            </w:r>
            <w:r w:rsidR="007575C8" w:rsidRPr="000F5046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575C8" w:rsidRPr="006E403A" w:rsidRDefault="006E403A" w:rsidP="006E403A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val="sr-Cyrl-BA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val="sr-Cyrl-BA"/>
              </w:rPr>
              <w:t>Опис ризика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575C8" w:rsidRPr="006E403A" w:rsidRDefault="006E403A" w:rsidP="009F765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val="sr-Cyrl-BA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val="sr-Cyrl-BA"/>
              </w:rPr>
              <w:t>Вјероватноћа настанка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575C8" w:rsidRPr="006E403A" w:rsidRDefault="006E403A" w:rsidP="009F765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val="sr-Cyrl-BA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val="sr-Cyrl-BA"/>
              </w:rPr>
              <w:t>Посљедице настанка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575C8" w:rsidRPr="006E403A" w:rsidRDefault="006E403A" w:rsidP="009F765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val="sr-Cyrl-BA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val="sr-Cyrl-BA"/>
              </w:rPr>
              <w:t>Мјере за превазилажење ризика</w:t>
            </w:r>
          </w:p>
        </w:tc>
      </w:tr>
      <w:tr w:rsidR="006E403A" w:rsidRPr="007575C8" w:rsidTr="006711C1">
        <w:trPr>
          <w:trHeight w:val="217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C8" w:rsidRPr="000F5046" w:rsidRDefault="007575C8" w:rsidP="009F765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0F5046">
              <w:rPr>
                <w:rFonts w:ascii="Cambria" w:eastAsia="Times New Roman" w:hAnsi="Cambria" w:cs="Times New Roman"/>
                <w:color w:val="000000"/>
                <w:lang w:val="hr-HR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C8" w:rsidRPr="006711C1" w:rsidRDefault="006E403A" w:rsidP="00A73C08">
            <w:r w:rsidRPr="000F5046">
              <w:rPr>
                <w:rFonts w:ascii="Cambria" w:eastAsia="Times New Roman" w:hAnsi="Cambria" w:cs="Times New Roman"/>
                <w:color w:val="000000"/>
                <w:lang w:val="hr-HR"/>
              </w:rPr>
              <w:t>Неуспјех у провођењу поступка јавне набавке услуге надоградње система е-Набавке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3A" w:rsidRDefault="006E403A" w:rsidP="00A73C08">
            <w:r w:rsidRPr="000F5046">
              <w:rPr>
                <w:rFonts w:ascii="Cambria" w:eastAsia="Times New Roman" w:hAnsi="Cambria" w:cs="Times New Roman"/>
                <w:color w:val="000000"/>
                <w:lang w:val="hr-HR"/>
              </w:rPr>
              <w:t>Средња – проблем се може догодити</w:t>
            </w:r>
          </w:p>
          <w:p w:rsidR="007575C8" w:rsidRPr="000F5046" w:rsidRDefault="007575C8" w:rsidP="00A73C08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3A" w:rsidRDefault="006E403A" w:rsidP="00A73C08">
            <w:r w:rsidRPr="000F5046">
              <w:rPr>
                <w:rFonts w:ascii="Cambria" w:eastAsia="Times New Roman" w:hAnsi="Cambria" w:cs="Times New Roman"/>
                <w:color w:val="000000"/>
                <w:lang w:val="hr-HR"/>
              </w:rPr>
              <w:t xml:space="preserve">Одгађање реализације пројеката </w:t>
            </w:r>
            <w:r w:rsidRPr="00A86935">
              <w:rPr>
                <w:rFonts w:ascii="Cambria" w:eastAsia="Times New Roman" w:hAnsi="Cambria" w:cs="Times New Roman"/>
                <w:color w:val="000000"/>
                <w:lang w:val="hr-HR"/>
              </w:rPr>
              <w:t>-</w:t>
            </w:r>
          </w:p>
          <w:p w:rsidR="007575C8" w:rsidRPr="000F5046" w:rsidRDefault="007575C8" w:rsidP="00A73C08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3A" w:rsidRDefault="006E403A" w:rsidP="00A73C08">
            <w:r w:rsidRPr="000F5046">
              <w:rPr>
                <w:rFonts w:ascii="Cambria" w:eastAsia="Times New Roman" w:hAnsi="Cambria" w:cs="Times New Roman"/>
                <w:color w:val="000000"/>
                <w:lang w:val="hr-HR"/>
              </w:rPr>
              <w:t>Покретање поступка на вријеме и правилно дефинисање тендерске документације</w:t>
            </w:r>
          </w:p>
          <w:p w:rsidR="007575C8" w:rsidRPr="000F5046" w:rsidRDefault="007575C8" w:rsidP="00A73C08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E403A" w:rsidRPr="007575C8" w:rsidTr="00AF72F4">
        <w:trPr>
          <w:trHeight w:val="154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C8" w:rsidRPr="000F5046" w:rsidRDefault="00757B20" w:rsidP="009F765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  <w:lang w:val="hr-HR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C8" w:rsidRPr="006E403A" w:rsidRDefault="006E403A" w:rsidP="00A73C08">
            <w:r w:rsidRPr="000F5046">
              <w:rPr>
                <w:rFonts w:ascii="Cambria" w:eastAsia="Times New Roman" w:hAnsi="Cambria" w:cs="Times New Roman"/>
                <w:color w:val="000000"/>
                <w:lang w:val="hr-HR"/>
              </w:rPr>
              <w:t>Неблаговремено усвајање приједлога Правилника о ел</w:t>
            </w:r>
            <w:r>
              <w:rPr>
                <w:rFonts w:ascii="Cambria" w:eastAsia="Times New Roman" w:hAnsi="Cambria" w:cs="Times New Roman"/>
                <w:color w:val="000000"/>
                <w:lang w:val="hr-HR"/>
              </w:rPr>
              <w:t xml:space="preserve">ектронским набавкама од стране </w:t>
            </w:r>
            <w:r>
              <w:rPr>
                <w:rFonts w:ascii="Cambria" w:eastAsia="Times New Roman" w:hAnsi="Cambria" w:cs="Times New Roman"/>
                <w:color w:val="000000"/>
                <w:lang w:val="sr-Latn-BA"/>
              </w:rPr>
              <w:t>С</w:t>
            </w:r>
            <w:r w:rsidRPr="000F5046">
              <w:rPr>
                <w:rFonts w:ascii="Cambria" w:eastAsia="Times New Roman" w:hAnsi="Cambria" w:cs="Times New Roman"/>
                <w:color w:val="000000"/>
                <w:lang w:val="hr-HR"/>
              </w:rPr>
              <w:t>М БиХ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C8" w:rsidRPr="006E403A" w:rsidRDefault="006E403A" w:rsidP="00A73C08">
            <w:r w:rsidRPr="000F5046">
              <w:rPr>
                <w:rFonts w:ascii="Cambria" w:eastAsia="Times New Roman" w:hAnsi="Cambria" w:cs="Times New Roman"/>
                <w:color w:val="000000"/>
                <w:lang w:val="hr-HR"/>
              </w:rPr>
              <w:t>Средња – проблем се може догодити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C8" w:rsidRPr="006E403A" w:rsidRDefault="006E403A" w:rsidP="00A73C08">
            <w:r w:rsidRPr="000F5046">
              <w:rPr>
                <w:rFonts w:ascii="Cambria" w:eastAsia="Times New Roman" w:hAnsi="Cambria" w:cs="Times New Roman"/>
                <w:color w:val="000000"/>
                <w:lang w:val="hr-HR"/>
              </w:rPr>
              <w:t>Немогућност пуштања у продукцију надограђеног ситема са новим функционалностима/модулима у роковима дефинисаним планским и стратешким докумнетима АЈН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C8" w:rsidRPr="00757B20" w:rsidRDefault="006E403A" w:rsidP="00A73C08">
            <w:pPr>
              <w:rPr>
                <w:lang w:val="sr-Cyrl-BA"/>
              </w:rPr>
            </w:pPr>
            <w:r w:rsidRPr="000F5046">
              <w:rPr>
                <w:rFonts w:ascii="Cambria" w:eastAsia="Times New Roman" w:hAnsi="Cambria" w:cs="Times New Roman"/>
                <w:color w:val="000000"/>
                <w:lang w:val="hr-HR"/>
              </w:rPr>
              <w:t>У матери</w:t>
            </w:r>
            <w:r w:rsidR="00C9672F">
              <w:rPr>
                <w:rFonts w:ascii="Cambria" w:eastAsia="Times New Roman" w:hAnsi="Cambria" w:cs="Times New Roman"/>
                <w:color w:val="000000"/>
                <w:lang w:val="hr-HR"/>
              </w:rPr>
              <w:t>јалима који ће бити достављени С</w:t>
            </w:r>
            <w:r w:rsidRPr="000F5046">
              <w:rPr>
                <w:rFonts w:ascii="Cambria" w:eastAsia="Times New Roman" w:hAnsi="Cambria" w:cs="Times New Roman"/>
                <w:color w:val="000000"/>
                <w:lang w:val="hr-HR"/>
              </w:rPr>
              <w:t>М БиХ дати детаљна образложења разлога за доношење овог акта, испунити даље обавезе на усклађивању  са директивама ЕУ</w:t>
            </w:r>
            <w:r w:rsidR="00757B20">
              <w:rPr>
                <w:rFonts w:ascii="Cambria" w:eastAsia="Times New Roman" w:hAnsi="Cambria" w:cs="Times New Roman"/>
                <w:color w:val="000000"/>
                <w:lang w:val="sr-Cyrl-BA"/>
              </w:rPr>
              <w:t>.</w:t>
            </w:r>
          </w:p>
        </w:tc>
      </w:tr>
      <w:tr w:rsidR="0034270E" w:rsidRPr="007575C8" w:rsidTr="00AF72F4">
        <w:trPr>
          <w:trHeight w:val="154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Pr="0034270E" w:rsidRDefault="0034270E" w:rsidP="009F765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sr-Cyrl-BA"/>
              </w:rPr>
            </w:pPr>
            <w:r>
              <w:rPr>
                <w:rFonts w:ascii="Cambria" w:eastAsia="Times New Roman" w:hAnsi="Cambria" w:cs="Times New Roman"/>
                <w:color w:val="000000"/>
                <w:lang w:val="sr-Cyrl-BA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Pr="00930C76" w:rsidRDefault="00930C76" w:rsidP="00A73C08">
            <w:pPr>
              <w:rPr>
                <w:rFonts w:ascii="Cambria" w:eastAsia="Times New Roman" w:hAnsi="Cambria" w:cs="Times New Roman"/>
                <w:color w:val="000000"/>
                <w:lang w:val="sr-Cyrl-BA"/>
              </w:rPr>
            </w:pPr>
            <w:r>
              <w:rPr>
                <w:rFonts w:ascii="Cambria" w:eastAsia="Times New Roman" w:hAnsi="Cambria" w:cs="Times New Roman"/>
                <w:color w:val="000000"/>
                <w:lang w:val="sr-Cyrl-BA"/>
              </w:rPr>
              <w:t>Неуспјех провођења провјере знања службеника за јавне набавке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Pr="00930C76" w:rsidRDefault="00930C76" w:rsidP="00A73C08">
            <w:pPr>
              <w:rPr>
                <w:rFonts w:ascii="Cambria" w:eastAsia="Times New Roman" w:hAnsi="Cambria" w:cs="Times New Roman"/>
                <w:color w:val="000000"/>
                <w:lang w:val="sr-Cyrl-BA"/>
              </w:rPr>
            </w:pPr>
            <w:r>
              <w:rPr>
                <w:rFonts w:ascii="Cambria" w:eastAsia="Times New Roman" w:hAnsi="Cambria" w:cs="Times New Roman"/>
                <w:color w:val="000000"/>
                <w:lang w:val="sr-Cyrl-BA"/>
              </w:rPr>
              <w:t>Средња – проблем се може догодити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Pr="00930C76" w:rsidRDefault="00930C76" w:rsidP="00A73C08">
            <w:pPr>
              <w:rPr>
                <w:rFonts w:ascii="Cambria" w:eastAsia="Times New Roman" w:hAnsi="Cambria" w:cs="Times New Roman"/>
                <w:color w:val="000000"/>
                <w:lang w:val="sr-Cyrl-BA"/>
              </w:rPr>
            </w:pPr>
            <w:r>
              <w:rPr>
                <w:rFonts w:ascii="Cambria" w:eastAsia="Times New Roman" w:hAnsi="Cambria" w:cs="Times New Roman"/>
                <w:color w:val="000000"/>
                <w:lang w:val="sr-Cyrl-BA"/>
              </w:rPr>
              <w:t>Непостојање трениг менаџмент информационог система (ТМС) може угрозити провођење провјере знања службеника за јавне набавке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E" w:rsidRPr="00930C76" w:rsidRDefault="00930C76" w:rsidP="00A73C08">
            <w:pPr>
              <w:rPr>
                <w:rFonts w:ascii="Cambria" w:eastAsia="Times New Roman" w:hAnsi="Cambria" w:cs="Times New Roman"/>
                <w:color w:val="000000"/>
                <w:lang w:val="sr-Cyrl-BA"/>
              </w:rPr>
            </w:pPr>
            <w:r>
              <w:rPr>
                <w:rFonts w:ascii="Cambria" w:eastAsia="Times New Roman" w:hAnsi="Cambria" w:cs="Times New Roman"/>
                <w:color w:val="000000"/>
                <w:lang w:val="sr-Cyrl-BA"/>
              </w:rPr>
              <w:t xml:space="preserve">Благовремено покретање поступка од стране ГИЗ-а за набавку ТМС-а из разлога што исти финасирају овај </w:t>
            </w:r>
            <w:r>
              <w:rPr>
                <w:rFonts w:ascii="Cambria" w:eastAsia="Times New Roman" w:hAnsi="Cambria" w:cs="Times New Roman"/>
                <w:color w:val="000000"/>
                <w:lang w:val="sr-Cyrl-BA"/>
              </w:rPr>
              <w:lastRenderedPageBreak/>
              <w:t>пројекат, тако да АЈН нема великог утицаја на процес провођења поступка набавке</w:t>
            </w:r>
          </w:p>
        </w:tc>
      </w:tr>
      <w:tr w:rsidR="006E403A" w:rsidRPr="007575C8" w:rsidTr="00AF72F4">
        <w:trPr>
          <w:trHeight w:val="24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03A" w:rsidRPr="000F5046" w:rsidRDefault="006E403A" w:rsidP="009F765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lastRenderedPageBreak/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03A" w:rsidRPr="006E403A" w:rsidRDefault="006E403A" w:rsidP="00A73C08">
            <w:r w:rsidRPr="000F5046">
              <w:rPr>
                <w:rFonts w:ascii="Cambria" w:eastAsia="Times New Roman" w:hAnsi="Cambria" w:cs="Times New Roman"/>
                <w:color w:val="000000"/>
              </w:rPr>
              <w:t>Немогућност поступања по свим изворима праћења утврђеним Правилником о праћењу поступака јавне набавке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03A" w:rsidRPr="006E403A" w:rsidRDefault="006E403A" w:rsidP="00A73C08">
            <w:r>
              <w:rPr>
                <w:rFonts w:ascii="Cambria" w:eastAsia="Times New Roman" w:hAnsi="Cambria" w:cs="Times New Roman"/>
                <w:color w:val="000000"/>
                <w:lang w:val="sr-Cyrl-BA"/>
              </w:rPr>
              <w:t xml:space="preserve">        </w:t>
            </w:r>
            <w:r w:rsidRPr="000F5046">
              <w:rPr>
                <w:rFonts w:ascii="Cambria" w:eastAsia="Times New Roman" w:hAnsi="Cambria" w:cs="Times New Roman"/>
                <w:color w:val="000000"/>
              </w:rPr>
              <w:t>средња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03A" w:rsidRPr="006E403A" w:rsidRDefault="006E403A" w:rsidP="00A73C08">
            <w:r w:rsidRPr="000F5046">
              <w:rPr>
                <w:rFonts w:ascii="Cambria" w:eastAsia="Times New Roman" w:hAnsi="Cambria" w:cs="Times New Roman"/>
                <w:color w:val="000000"/>
              </w:rPr>
              <w:t>Повећан број кршења одредби закона и подзаконских аката од стране уговорних органа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03A" w:rsidRPr="00757B20" w:rsidRDefault="006E403A" w:rsidP="00A73C08">
            <w:r w:rsidRPr="000F5046">
              <w:rPr>
                <w:rFonts w:ascii="Cambria" w:eastAsia="Times New Roman" w:hAnsi="Cambria" w:cs="Times New Roman"/>
                <w:color w:val="000000"/>
              </w:rPr>
              <w:t>Неопходно попуњавање унутрашње организације и систематизацијерадних мјеста и потреба за едукацијом постојећег административног кадра према новим надлежностима.</w:t>
            </w:r>
          </w:p>
        </w:tc>
      </w:tr>
    </w:tbl>
    <w:p w:rsidR="009D3AA8" w:rsidRDefault="009D3AA8" w:rsidP="002C4F7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hr-HR" w:eastAsia="hr-HR"/>
        </w:rPr>
      </w:pPr>
    </w:p>
    <w:p w:rsidR="009D3AA8" w:rsidRDefault="009D3AA8" w:rsidP="009D3AA8">
      <w:pPr>
        <w:rPr>
          <w:rFonts w:ascii="Arial" w:eastAsia="Times New Roman" w:hAnsi="Arial" w:cs="Arial"/>
          <w:sz w:val="18"/>
          <w:szCs w:val="18"/>
          <w:lang w:val="hr-HR" w:eastAsia="hr-HR"/>
        </w:rPr>
      </w:pPr>
    </w:p>
    <w:p w:rsidR="00B82B7A" w:rsidRPr="009D3AA8" w:rsidRDefault="00B82B7A" w:rsidP="009D3AA8">
      <w:pPr>
        <w:rPr>
          <w:rFonts w:ascii="Arial" w:eastAsia="Times New Roman" w:hAnsi="Arial" w:cs="Arial"/>
          <w:sz w:val="18"/>
          <w:szCs w:val="18"/>
          <w:lang w:val="hr-HR" w:eastAsia="hr-HR"/>
        </w:rPr>
      </w:pPr>
    </w:p>
    <w:p w:rsidR="009D3AA8" w:rsidRPr="009D3AA8" w:rsidRDefault="00B40A7F" w:rsidP="009D3AA8">
      <w:pPr>
        <w:rPr>
          <w:rFonts w:ascii="Cambria" w:eastAsia="Times New Roman" w:hAnsi="Cambria" w:cs="Arial"/>
          <w:sz w:val="24"/>
          <w:szCs w:val="24"/>
          <w:lang w:val="sr-Cyrl-BA" w:eastAsia="hr-HR"/>
        </w:rPr>
      </w:pPr>
      <w:r>
        <w:rPr>
          <w:rFonts w:ascii="Cambria" w:eastAsia="Times New Roman" w:hAnsi="Cambria" w:cs="Arial"/>
          <w:sz w:val="24"/>
          <w:szCs w:val="24"/>
          <w:lang w:val="sr-Cyrl-BA" w:eastAsia="hr-HR"/>
        </w:rPr>
        <w:t>Сарајево,</w:t>
      </w:r>
      <w:r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>
        <w:rPr>
          <w:rFonts w:ascii="Cambria" w:eastAsia="Times New Roman" w:hAnsi="Cambria" w:cs="Arial"/>
          <w:sz w:val="24"/>
          <w:szCs w:val="24"/>
          <w:lang w:val="sr-Cyrl-BA" w:eastAsia="hr-HR"/>
        </w:rPr>
        <w:tab/>
        <w:t xml:space="preserve">            </w:t>
      </w:r>
      <w:r w:rsidR="009D3AA8" w:rsidRPr="00B40A7F">
        <w:rPr>
          <w:rFonts w:ascii="Cambria" w:eastAsia="Times New Roman" w:hAnsi="Cambria" w:cs="Arial"/>
          <w:b/>
          <w:sz w:val="24"/>
          <w:szCs w:val="24"/>
          <w:lang w:val="sr-Cyrl-BA" w:eastAsia="hr-HR"/>
        </w:rPr>
        <w:t>в.д. ДИРЕТКТОР-а</w:t>
      </w:r>
    </w:p>
    <w:p w:rsidR="009D3AA8" w:rsidRPr="009D3AA8" w:rsidRDefault="009D3AA8" w:rsidP="009D3AA8">
      <w:pPr>
        <w:rPr>
          <w:rFonts w:ascii="Cambria" w:eastAsia="Times New Roman" w:hAnsi="Cambria" w:cs="Arial"/>
          <w:sz w:val="24"/>
          <w:szCs w:val="24"/>
          <w:lang w:val="sr-Cyrl-BA" w:eastAsia="hr-HR"/>
        </w:rPr>
      </w:pPr>
      <w:r w:rsidRPr="009D3AA8">
        <w:rPr>
          <w:rFonts w:ascii="Cambria" w:eastAsia="Times New Roman" w:hAnsi="Cambria" w:cs="Arial"/>
          <w:sz w:val="24"/>
          <w:szCs w:val="24"/>
          <w:lang w:val="sr-Cyrl-BA" w:eastAsia="hr-HR"/>
        </w:rPr>
        <w:t>__.__.2019. година</w:t>
      </w:r>
      <w:r w:rsidR="00B40A7F"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 w:rsidR="00B40A7F"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 w:rsidR="00B40A7F"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 w:rsidR="00B40A7F"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 w:rsidR="00B40A7F"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 w:rsidR="00B40A7F"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 w:rsidR="00B40A7F">
        <w:rPr>
          <w:rFonts w:ascii="Cambria" w:eastAsia="Times New Roman" w:hAnsi="Cambria" w:cs="Arial"/>
          <w:sz w:val="24"/>
          <w:szCs w:val="24"/>
          <w:lang w:val="sr-Cyrl-BA" w:eastAsia="hr-HR"/>
        </w:rPr>
        <w:tab/>
      </w:r>
      <w:r w:rsidR="00B40A7F">
        <w:rPr>
          <w:rFonts w:ascii="Cambria" w:eastAsia="Times New Roman" w:hAnsi="Cambria" w:cs="Arial"/>
          <w:sz w:val="24"/>
          <w:szCs w:val="24"/>
          <w:lang w:val="sr-Cyrl-BA" w:eastAsia="hr-HR"/>
        </w:rPr>
        <w:tab/>
        <w:t xml:space="preserve">  </w:t>
      </w:r>
      <w:bookmarkStart w:id="1" w:name="_GoBack"/>
      <w:bookmarkEnd w:id="1"/>
      <w:r w:rsidRPr="00B40A7F">
        <w:rPr>
          <w:rFonts w:ascii="Cambria" w:eastAsia="Times New Roman" w:hAnsi="Cambria" w:cs="Arial"/>
          <w:b/>
          <w:sz w:val="24"/>
          <w:szCs w:val="24"/>
          <w:lang w:val="sr-Cyrl-BA" w:eastAsia="hr-HR"/>
        </w:rPr>
        <w:t>Ђенан Салчин</w:t>
      </w:r>
      <w:r>
        <w:rPr>
          <w:rFonts w:ascii="Cambria" w:eastAsia="Times New Roman" w:hAnsi="Cambria" w:cs="Arial"/>
          <w:sz w:val="24"/>
          <w:szCs w:val="24"/>
          <w:lang w:val="sr-Cyrl-BA" w:eastAsia="hr-HR"/>
        </w:rPr>
        <w:t xml:space="preserve"> </w:t>
      </w:r>
    </w:p>
    <w:p w:rsidR="009D3AA8" w:rsidRDefault="009D3AA8" w:rsidP="009D3AA8">
      <w:pPr>
        <w:rPr>
          <w:rFonts w:ascii="Arial" w:eastAsia="Times New Roman" w:hAnsi="Arial" w:cs="Arial"/>
          <w:sz w:val="18"/>
          <w:szCs w:val="18"/>
          <w:lang w:val="hr-HR" w:eastAsia="hr-HR"/>
        </w:rPr>
      </w:pPr>
    </w:p>
    <w:p w:rsidR="002C4F7D" w:rsidRPr="009D3AA8" w:rsidRDefault="002C4F7D" w:rsidP="009D3AA8">
      <w:pPr>
        <w:rPr>
          <w:rFonts w:ascii="Arial" w:eastAsia="Times New Roman" w:hAnsi="Arial" w:cs="Arial"/>
          <w:sz w:val="18"/>
          <w:szCs w:val="18"/>
          <w:lang w:val="hr-HR" w:eastAsia="hr-HR"/>
        </w:rPr>
        <w:sectPr w:rsidR="002C4F7D" w:rsidRPr="009D3AA8" w:rsidSect="00B75BFF">
          <w:headerReference w:type="default" r:id="rId8"/>
          <w:footerReference w:type="default" r:id="rId9"/>
          <w:headerReference w:type="first" r:id="rId10"/>
          <w:pgSz w:w="11906" w:h="16838"/>
          <w:pgMar w:top="1418" w:right="1416" w:bottom="1418" w:left="1418" w:header="709" w:footer="709" w:gutter="0"/>
          <w:pgNumType w:start="0"/>
          <w:cols w:space="708"/>
          <w:titlePg/>
          <w:docGrid w:linePitch="360"/>
        </w:sectPr>
      </w:pPr>
    </w:p>
    <w:p w:rsidR="0079290B" w:rsidRDefault="0079290B" w:rsidP="009F765D">
      <w:pPr>
        <w:spacing w:line="360" w:lineRule="auto"/>
      </w:pPr>
    </w:p>
    <w:tbl>
      <w:tblPr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1052"/>
        <w:gridCol w:w="256"/>
        <w:gridCol w:w="256"/>
        <w:gridCol w:w="137"/>
        <w:gridCol w:w="817"/>
        <w:gridCol w:w="1418"/>
        <w:gridCol w:w="1417"/>
        <w:gridCol w:w="1134"/>
        <w:gridCol w:w="993"/>
        <w:gridCol w:w="850"/>
        <w:gridCol w:w="851"/>
        <w:gridCol w:w="992"/>
        <w:gridCol w:w="850"/>
        <w:gridCol w:w="1560"/>
      </w:tblGrid>
      <w:tr w:rsidR="00A86935" w:rsidRPr="00A86935" w:rsidTr="000842A7">
        <w:trPr>
          <w:trHeight w:val="6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noWrap/>
            <w:vAlign w:val="center"/>
            <w:hideMark/>
          </w:tcPr>
          <w:p w:rsidR="00A86935" w:rsidRPr="00EE739D" w:rsidRDefault="00A86935" w:rsidP="00AF72F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color w:val="FFFFFF" w:themeColor="background1"/>
                <w:sz w:val="18"/>
                <w:szCs w:val="18"/>
              </w:rPr>
              <w:t xml:space="preserve">II - </w:t>
            </w:r>
            <w:r w:rsidR="0079290B" w:rsidRPr="00EE739D">
              <w:rPr>
                <w:rFonts w:ascii="Cambria" w:eastAsia="Times New Roman" w:hAnsi="Cambria" w:cs="Arial"/>
                <w:color w:val="FFFFFF" w:themeColor="background1"/>
                <w:sz w:val="18"/>
                <w:szCs w:val="18"/>
                <w:lang w:val="sr-Cyrl-BA"/>
              </w:rPr>
              <w:t xml:space="preserve"> АКЦИОНИ ПЛАН ГОДИШЊЕГ ПРОГРАМА РАДА АГЕНЦИЈЕ ЗА ЈАВНЕ НАБАВКЕ БИХ ЗА 2019. ГОДИНУ </w:t>
            </w:r>
          </w:p>
        </w:tc>
      </w:tr>
      <w:tr w:rsidR="000842A7" w:rsidRPr="00A86935" w:rsidTr="000842A7">
        <w:trPr>
          <w:trHeight w:val="600"/>
        </w:trPr>
        <w:tc>
          <w:tcPr>
            <w:tcW w:w="43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86935" w:rsidRPr="00A86935" w:rsidRDefault="0079290B" w:rsidP="0079290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sr-Cyrl-BA"/>
              </w:rPr>
              <w:t xml:space="preserve">Општи циљ/принципи развоја:          Интегрални раст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 </w:t>
            </w:r>
          </w:p>
        </w:tc>
      </w:tr>
      <w:tr w:rsidR="00A86935" w:rsidRPr="00A86935" w:rsidTr="000842A7">
        <w:trPr>
          <w:trHeight w:val="6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A86935" w:rsidRPr="00A86935" w:rsidRDefault="0079290B" w:rsidP="0079290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sr-Cyrl-BA"/>
              </w:rPr>
              <w:t xml:space="preserve">Стратешки циљ: Унаприједити развој конкурентског економског окружења </w:t>
            </w:r>
          </w:p>
        </w:tc>
      </w:tr>
      <w:tr w:rsidR="00A86935" w:rsidRPr="00A86935" w:rsidTr="000842A7">
        <w:trPr>
          <w:trHeight w:val="1065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A86935" w:rsidRPr="00A86935" w:rsidRDefault="0079290B" w:rsidP="0079290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sr-Cyrl-BA"/>
              </w:rPr>
              <w:t xml:space="preserve">Средњорочни циљ: Унаприједити систем инфраструктуре квалитета у складу са ЕУ легислативама и добром праксом ЕУ, ефикаснију регулацију тржишта у сврху обезбјеђења слободног кретања роба и услуга и тржишне фер конкуренције </w:t>
            </w:r>
          </w:p>
        </w:tc>
      </w:tr>
      <w:tr w:rsidR="00A86935" w:rsidRPr="00A86935" w:rsidTr="000842A7">
        <w:trPr>
          <w:trHeight w:val="6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Пројекти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Носилац активности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Показатељи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Трошкови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Извори финансирања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86935" w:rsidRPr="0079290B" w:rsidRDefault="0079290B" w:rsidP="0079290B"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Планирани квартал за провођење</w:t>
            </w:r>
          </w:p>
        </w:tc>
      </w:tr>
      <w:tr w:rsidR="000842A7" w:rsidRPr="00A86935" w:rsidTr="000842A7">
        <w:trPr>
          <w:trHeight w:val="14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35" w:rsidRPr="00A86935" w:rsidRDefault="00A86935" w:rsidP="0079290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35" w:rsidRPr="00A86935" w:rsidRDefault="00A86935" w:rsidP="0079290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Показатељ резултата</w:t>
            </w:r>
          </w:p>
          <w:p w:rsidR="00A86935" w:rsidRPr="00A86935" w:rsidRDefault="00A86935" w:rsidP="0079290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Јединица мјерења</w:t>
            </w:r>
          </w:p>
          <w:p w:rsidR="00A86935" w:rsidRPr="00A86935" w:rsidRDefault="00A86935" w:rsidP="0079290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Полазна вриједност</w:t>
            </w:r>
          </w:p>
          <w:p w:rsidR="00A86935" w:rsidRPr="00A86935" w:rsidRDefault="00A86935" w:rsidP="0079290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Циљана вриједност</w:t>
            </w:r>
          </w:p>
          <w:p w:rsidR="00A86935" w:rsidRPr="00A86935" w:rsidRDefault="00A86935" w:rsidP="0079290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Процијењени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Буџет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Кредити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Донације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Остали извори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Укупно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</w:tr>
      <w:tr w:rsidR="000842A7" w:rsidRPr="00A86935" w:rsidTr="000842A7">
        <w:trPr>
          <w:trHeight w:val="25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35" w:rsidRPr="00A86935" w:rsidRDefault="00A86935" w:rsidP="00A8693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A86935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13</w:t>
            </w:r>
          </w:p>
        </w:tc>
      </w:tr>
      <w:tr w:rsidR="00A86935" w:rsidRPr="00A86935" w:rsidTr="000842A7">
        <w:trPr>
          <w:trHeight w:val="57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A86935" w:rsidRPr="0079290B" w:rsidRDefault="0079290B" w:rsidP="0079290B">
            <w:pPr>
              <w:jc w:val="center"/>
            </w:pPr>
            <w:r w:rsidRPr="00A86935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hr-HR"/>
              </w:rPr>
              <w:t>Програм:  1.    Јачање система јавних набавки</w:t>
            </w:r>
          </w:p>
        </w:tc>
      </w:tr>
    </w:tbl>
    <w:p w:rsidR="00DE722E" w:rsidRDefault="00DE722E" w:rsidP="009F765D">
      <w:pPr>
        <w:spacing w:line="360" w:lineRule="auto"/>
      </w:pPr>
    </w:p>
    <w:tbl>
      <w:tblPr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12"/>
        <w:gridCol w:w="1502"/>
        <w:gridCol w:w="1712"/>
        <w:gridCol w:w="920"/>
        <w:gridCol w:w="1384"/>
        <w:gridCol w:w="1418"/>
        <w:gridCol w:w="1133"/>
        <w:gridCol w:w="993"/>
        <w:gridCol w:w="851"/>
        <w:gridCol w:w="850"/>
        <w:gridCol w:w="993"/>
        <w:gridCol w:w="850"/>
        <w:gridCol w:w="1559"/>
      </w:tblGrid>
      <w:tr w:rsidR="000842A7" w:rsidRPr="00167037" w:rsidTr="00C13486">
        <w:trPr>
          <w:cantSplit/>
          <w:trHeight w:val="24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67037" w:rsidRPr="002C4F7D" w:rsidRDefault="002C4F7D" w:rsidP="002C4F7D">
            <w:pPr>
              <w:jc w:val="center"/>
            </w:pPr>
            <w:r w:rsidRPr="00167037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lastRenderedPageBreak/>
              <w:t>Унапређење постојећих и увођење нових функционалности система е-набавке уз припадајући легислативни оквир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67037" w:rsidRPr="002C4F7D" w:rsidRDefault="002C4F7D" w:rsidP="002C4F7D">
            <w:pPr>
              <w:jc w:val="center"/>
            </w:pPr>
            <w:r w:rsidRPr="00167037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Сектор за информационе технологије, финансијске и опште послове и  Сектор за правне послове и послове обуке и анализе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67037" w:rsidRPr="002C4F7D" w:rsidRDefault="00757B20" w:rsidP="002C4F7D">
            <w:pPr>
              <w:jc w:val="center"/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Број нових функционалности мањег обима и унапређења постојећих функционалности пуштених у продукцију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67037" w:rsidRPr="002C4F7D" w:rsidRDefault="002C4F7D" w:rsidP="002C4F7D">
            <w:pPr>
              <w:jc w:val="center"/>
            </w:pPr>
            <w:r w:rsidRPr="00167037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Број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167037" w:rsidRPr="002C4F7D" w:rsidRDefault="00757B20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167037" w:rsidRPr="002C4F7D" w:rsidRDefault="00757B20" w:rsidP="00757B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167037" w:rsidRPr="002C4F7D" w:rsidRDefault="00167037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167037" w:rsidRPr="00C13486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  <w:t>517.000,00 KM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167037" w:rsidRPr="00DF6F6C" w:rsidRDefault="00167037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167037" w:rsidRPr="00167037" w:rsidRDefault="00167037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167037" w:rsidRPr="00167037" w:rsidRDefault="00167037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167037" w:rsidRPr="00C13486" w:rsidRDefault="006E12BB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  <w:t>517.000,00 KM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167037" w:rsidRPr="00A02B50" w:rsidRDefault="00757B20" w:rsidP="000842A7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Континуирано током цијеле 2019. године</w:t>
            </w:r>
          </w:p>
        </w:tc>
      </w:tr>
      <w:tr w:rsidR="000842A7" w:rsidRPr="00167037" w:rsidTr="00AF4A24">
        <w:trPr>
          <w:cantSplit/>
          <w:trHeight w:val="24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757B20" w:rsidRPr="00757B20" w:rsidRDefault="00757B20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Пуштање у продукцију модула за електронско достављање понуда, отварање понуда и оцјену понуда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757B20" w:rsidRPr="00167037" w:rsidRDefault="00757B20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hr-HR"/>
              </w:rPr>
            </w:pPr>
            <w:r w:rsidRPr="00757B20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Сектор за информационе технологије, финансијске и опште послове и  Сектор за правне послове и послове обуке и анализе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757B20" w:rsidRDefault="00757B20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Проценат проведених поступака јавних набавки електронским путем у односу на укупан број поступака покренутих путем портала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757B20" w:rsidRPr="00757B20" w:rsidRDefault="00757B20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757B20" w:rsidRDefault="00757B20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757B20" w:rsidRDefault="00757B20" w:rsidP="00757B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757B20" w:rsidRPr="002C4F7D" w:rsidRDefault="00757B20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757B20" w:rsidRDefault="00757B20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757B20" w:rsidRPr="00167037" w:rsidRDefault="00757B20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757B20" w:rsidRPr="00167037" w:rsidRDefault="00757B20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757B20" w:rsidRPr="00167037" w:rsidRDefault="00757B20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757B20" w:rsidRDefault="00757B20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757B20" w:rsidRPr="00757B20" w:rsidRDefault="00757B20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 xml:space="preserve">Пуштање у продукцију у </w:t>
            </w:r>
            <w:r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  <w:t xml:space="preserve">I </w:t>
            </w: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кварталу</w:t>
            </w:r>
          </w:p>
        </w:tc>
      </w:tr>
      <w:tr w:rsidR="000842A7" w:rsidRPr="00167037" w:rsidTr="00C13486">
        <w:trPr>
          <w:cantSplit/>
          <w:trHeight w:val="24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F6F6C" w:rsidRDefault="00DF6F6C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Отварање подат</w:t>
            </w:r>
            <w:r w:rsidR="00930C76"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ак</w:t>
            </w: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а у јавним набавкама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F6F6C" w:rsidRPr="00DF6F6C" w:rsidRDefault="00DF6F6C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Радна група у Агенцији за јавне набавке БиХ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F6F6C" w:rsidRDefault="00DF6F6C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Имплементација ОЦС стандарда на техничком нивоу</w:t>
            </w:r>
          </w:p>
          <w:p w:rsidR="00DF6F6C" w:rsidRPr="00DF6F6C" w:rsidRDefault="00DF6F6C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 xml:space="preserve">Развој </w:t>
            </w:r>
            <w:r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  <w:t xml:space="preserve">open data </w:t>
            </w: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модула као екстензије националног портала за јавне набавке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F6F6C" w:rsidRDefault="00DF6F6C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Описно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F6F6C" w:rsidRDefault="00DF6F6C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F6F6C" w:rsidRDefault="00DF6F6C" w:rsidP="00757B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Развијено и спремно за пуштање у продукцију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F6F6C" w:rsidRPr="002C4F7D" w:rsidRDefault="00DF6F6C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F6F6C" w:rsidRDefault="00DF6F6C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DF6F6C" w:rsidRPr="00167037" w:rsidRDefault="00DF6F6C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DF6F6C" w:rsidRPr="00167037" w:rsidRDefault="00DF6F6C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DF6F6C" w:rsidRPr="00167037" w:rsidRDefault="00DF6F6C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DF6F6C" w:rsidRDefault="00DF6F6C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F6F6C" w:rsidRPr="00DF6F6C" w:rsidRDefault="00DF6F6C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  <w:t xml:space="preserve">IV </w:t>
            </w: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квартал</w:t>
            </w:r>
          </w:p>
        </w:tc>
      </w:tr>
      <w:tr w:rsidR="00C13486" w:rsidRPr="00167037" w:rsidTr="00C13486">
        <w:trPr>
          <w:cantSplit/>
          <w:trHeight w:val="24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lastRenderedPageBreak/>
              <w:t>Развој модула за е-Ревизију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 w:rsidRPr="00DF6F6C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Сектор за информационе технологије, финансијске и опште послове и  Сектор за правне послове и послове обуке и анализе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Спецификација захтјева усаглашена са уредима за ревизију на свим нивоима</w:t>
            </w:r>
          </w:p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Набавка услуге развоја предметних функционалности</w:t>
            </w:r>
          </w:p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Почетак развоја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Описно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757B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Изабран најповољнији добављач предметне услуге и почетак рада на реализацији пројекта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2C4F7D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DF6F6C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  <w:t xml:space="preserve">III </w:t>
            </w: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 xml:space="preserve">и </w:t>
            </w:r>
            <w:r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  <w:t xml:space="preserve">IV </w:t>
            </w: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квартал</w:t>
            </w:r>
          </w:p>
        </w:tc>
      </w:tr>
      <w:tr w:rsidR="00C13486" w:rsidRPr="00167037" w:rsidTr="00C13486">
        <w:trPr>
          <w:cantSplit/>
          <w:trHeight w:val="24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 xml:space="preserve">Успостављање информационог системаза управљање процесом организације и извођења обука из области јавних набавки (ТМС)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DF6F6C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Радна група у Агенцији за јавне набавке БиХ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Број организованих обука путем ТМС-а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Број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757B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2C4F7D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DF6F6C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 xml:space="preserve">Успостављање ТМС у </w:t>
            </w:r>
            <w:r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  <w:t xml:space="preserve">I </w:t>
            </w: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кварталу</w:t>
            </w:r>
          </w:p>
        </w:tc>
      </w:tr>
      <w:tr w:rsidR="00C13486" w:rsidRPr="00167037" w:rsidTr="00C13486">
        <w:trPr>
          <w:cantSplit/>
          <w:trHeight w:val="24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Анализа и спецификација захтјева за Динамички систем куповине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 w:rsidRPr="00DF6F6C"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Радна група у Агенцији за јавне набавке БиХ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Направљен СРС документ који ће бити саставни дио ТД</w:t>
            </w:r>
          </w:p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Проведен поступак набавке услуге развоја ДСК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2C4F7D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Описно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757B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 w:rsidRPr="00622B13"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Изабран најповољнији добављач предметне услуге и почетак рада на реализацији пројекта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2C4F7D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AF4A2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A02B5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 w:rsidRPr="00622B13"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  <w:t xml:space="preserve">IV </w:t>
            </w:r>
            <w:r w:rsidRPr="00622B13"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квартал</w:t>
            </w:r>
          </w:p>
        </w:tc>
      </w:tr>
      <w:tr w:rsidR="00C13486" w:rsidRPr="00167037" w:rsidTr="00C13486">
        <w:trPr>
          <w:cantSplit/>
          <w:trHeight w:val="24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C13486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lastRenderedPageBreak/>
              <w:t>Унапређење легислативног оквира из домене електронских јавних набавки (члан 123. Закона о јавним набавкама)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DF6F6C" w:rsidRDefault="00C13486" w:rsidP="00C13486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Сектор за правне послове и послове обуке и анализе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C13486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Припрема Нацрта Правилника о динамичком систему куповине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C13486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Описно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Припремљен Нацрт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622B13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2C4F7D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622B13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</w:pPr>
            <w:r w:rsidRPr="00622B13">
              <w:rPr>
                <w:rFonts w:ascii="Cambria" w:eastAsia="Times New Roman" w:hAnsi="Cambria" w:cs="Arial"/>
                <w:sz w:val="18"/>
                <w:szCs w:val="18"/>
                <w:lang w:val="sr-Latn-BA"/>
              </w:rPr>
              <w:t xml:space="preserve">IV </w:t>
            </w:r>
            <w:r w:rsidRPr="00622B13"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квартал</w:t>
            </w:r>
          </w:p>
        </w:tc>
      </w:tr>
      <w:tr w:rsidR="00C13486" w:rsidRPr="00167037" w:rsidTr="006E12BB">
        <w:trPr>
          <w:cantSplit/>
          <w:trHeight w:val="24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2C4F7D" w:rsidRDefault="00C13486" w:rsidP="00C13486">
            <w:pPr>
              <w:jc w:val="center"/>
            </w:pPr>
            <w:r w:rsidRPr="00A02B50"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lastRenderedPageBreak/>
              <w:t>Обуке службеника за јавне набавке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2C4F7D" w:rsidRDefault="00C13486" w:rsidP="00C13486">
            <w:pPr>
              <w:jc w:val="center"/>
            </w:pPr>
            <w:r w:rsidRPr="00167037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Сектор за правне послове и послове обуке и анализе –Филијала Бања Лука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E87600" w:rsidRDefault="00C13486" w:rsidP="00C1348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7600">
              <w:rPr>
                <w:rFonts w:ascii="Cambria" w:hAnsi="Cambria"/>
                <w:sz w:val="18"/>
                <w:szCs w:val="18"/>
                <w:lang w:val="sr-Cyrl-BA"/>
              </w:rPr>
              <w:t>Број одражаних обука за службеника за јавне набавке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2C4F7D" w:rsidRDefault="00C13486" w:rsidP="00C13486">
            <w:pPr>
              <w:jc w:val="center"/>
            </w:pPr>
            <w:r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Број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A02B50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A02B50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A02B50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  <w:lang w:val="hr-HR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356.000,00 KM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AF4A24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6E12BB" w:rsidP="006E12B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</w:rPr>
              <w:t>356.000,00 KM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A02B50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2019. година</w:t>
            </w:r>
          </w:p>
        </w:tc>
      </w:tr>
      <w:tr w:rsidR="00C13486" w:rsidRPr="00167037" w:rsidTr="006E12BB">
        <w:trPr>
          <w:cantSplit/>
          <w:trHeight w:val="24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hr-HR"/>
              </w:rPr>
            </w:pPr>
          </w:p>
          <w:p w:rsidR="00C13486" w:rsidRPr="00B35E3F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hr-HR"/>
              </w:rPr>
            </w:pPr>
            <w:r w:rsidRPr="002D6A19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Праћење  поступака јавних набавки по изворима праћења</w:t>
            </w:r>
          </w:p>
          <w:p w:rsidR="00C13486" w:rsidRDefault="00C13486" w:rsidP="00C1348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val="hr-HR"/>
              </w:rPr>
            </w:pPr>
          </w:p>
          <w:p w:rsidR="00C13486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hr-HR"/>
              </w:rPr>
            </w:pPr>
          </w:p>
          <w:p w:rsidR="00C13486" w:rsidRPr="00167037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hr-H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2C4F7D" w:rsidRDefault="00C13486" w:rsidP="00C13486">
            <w:pPr>
              <w:jc w:val="center"/>
            </w:pPr>
            <w:r w:rsidRPr="00167037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 xml:space="preserve">Сектор за правне послове и послове обуке и анализе –Филијала </w:t>
            </w:r>
            <w:r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Мостар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2C4F7D" w:rsidRDefault="00C13486" w:rsidP="00C13486">
            <w:pPr>
              <w:jc w:val="center"/>
            </w:pPr>
            <w:r w:rsidRPr="00A02B50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Број обрађених поступака према Правилнику о праћењу поступака јавних набавки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2C4F7D" w:rsidRDefault="00C13486" w:rsidP="00C13486">
            <w:pPr>
              <w:jc w:val="center"/>
            </w:pPr>
            <w:r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Број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A02B50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A02B50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A02B50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  <w:lang w:val="hr-HR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276.000,00 KM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AF4A24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C13486" w:rsidP="00C1348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C13486" w:rsidRPr="00167037" w:rsidRDefault="006E12BB" w:rsidP="006E12B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</w:rPr>
              <w:t>276.000,00 KM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13486" w:rsidRPr="00A02B50" w:rsidRDefault="00C13486" w:rsidP="00C134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2019. година</w:t>
            </w:r>
          </w:p>
        </w:tc>
      </w:tr>
    </w:tbl>
    <w:p w:rsidR="00D16882" w:rsidRDefault="00D16882" w:rsidP="009F765D">
      <w:pPr>
        <w:spacing w:line="360" w:lineRule="auto"/>
        <w:rPr>
          <w:rFonts w:ascii="Cambria" w:hAnsi="Cambria"/>
        </w:rPr>
      </w:pPr>
    </w:p>
    <w:p w:rsidR="00930C76" w:rsidRDefault="00930C76" w:rsidP="009F765D">
      <w:pPr>
        <w:spacing w:line="360" w:lineRule="auto"/>
        <w:rPr>
          <w:rFonts w:ascii="Cambria" w:hAnsi="Cambria"/>
        </w:rPr>
      </w:pPr>
    </w:p>
    <w:tbl>
      <w:tblPr>
        <w:tblW w:w="14180" w:type="dxa"/>
        <w:tblInd w:w="103" w:type="dxa"/>
        <w:tblLook w:val="04A0" w:firstRow="1" w:lastRow="0" w:firstColumn="1" w:lastColumn="0" w:noHBand="0" w:noVBand="1"/>
      </w:tblPr>
      <w:tblGrid>
        <w:gridCol w:w="5392"/>
        <w:gridCol w:w="2626"/>
        <w:gridCol w:w="2819"/>
        <w:gridCol w:w="3343"/>
      </w:tblGrid>
      <w:tr w:rsidR="000F256F" w:rsidRPr="000F256F" w:rsidTr="00D1209B">
        <w:trPr>
          <w:trHeight w:val="885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0F256F" w:rsidRPr="00E24DE1" w:rsidRDefault="000F256F" w:rsidP="00622B13">
            <w:pPr>
              <w:spacing w:after="0" w:line="240" w:lineRule="auto"/>
              <w:rPr>
                <w:rFonts w:ascii="Cambria" w:eastAsia="Times New Roman" w:hAnsi="Cambria" w:cs="Arial"/>
                <w:color w:val="FFFFFF"/>
                <w:sz w:val="18"/>
                <w:szCs w:val="18"/>
              </w:rPr>
            </w:pPr>
            <w:r w:rsidRPr="00E24DE1">
              <w:rPr>
                <w:rFonts w:ascii="Cambria" w:eastAsia="Times New Roman" w:hAnsi="Cambria" w:cs="Arial"/>
                <w:color w:val="FFFFFF"/>
                <w:sz w:val="18"/>
                <w:szCs w:val="18"/>
              </w:rPr>
              <w:lastRenderedPageBreak/>
              <w:t xml:space="preserve">IV </w:t>
            </w:r>
            <w:r w:rsidR="00622B13" w:rsidRPr="00E24DE1">
              <w:rPr>
                <w:rFonts w:ascii="Cambria" w:eastAsia="Times New Roman" w:hAnsi="Cambria" w:cs="Arial"/>
                <w:color w:val="FFFFFF"/>
                <w:sz w:val="18"/>
                <w:szCs w:val="18"/>
              </w:rPr>
              <w:t>–</w:t>
            </w:r>
            <w:r w:rsidRPr="00E24DE1">
              <w:rPr>
                <w:rFonts w:ascii="Cambria" w:eastAsia="Times New Roman" w:hAnsi="Cambria" w:cs="Arial"/>
                <w:color w:val="FFFFFF"/>
                <w:sz w:val="18"/>
                <w:szCs w:val="18"/>
              </w:rPr>
              <w:t xml:space="preserve"> </w:t>
            </w:r>
            <w:r w:rsidR="00622B13" w:rsidRPr="00E24DE1">
              <w:rPr>
                <w:rFonts w:ascii="Cambria" w:eastAsia="Times New Roman" w:hAnsi="Cambria" w:cs="Arial"/>
                <w:color w:val="FFFFFF"/>
                <w:sz w:val="18"/>
                <w:szCs w:val="18"/>
                <w:lang w:val="sr-Cyrl-BA"/>
              </w:rPr>
              <w:t xml:space="preserve">ЗБИРНИ ПРЕГЛЕД ПОДЗАКОНСКИХ АКАТА ПЛАНИРАНИХ ГОДИШЊИМ ПРОГРАМОМ РАДА АГЕНЦИЈЕ ЗА ЈАВНЕ НАБАВКЕ БИХ </w:t>
            </w:r>
          </w:p>
        </w:tc>
      </w:tr>
      <w:tr w:rsidR="00622B13" w:rsidRPr="000F256F" w:rsidTr="00F033F3">
        <w:trPr>
          <w:trHeight w:val="525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3" w:rsidRPr="00EE739D" w:rsidRDefault="00622B13" w:rsidP="00622B13">
            <w:pPr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hr-HR"/>
              </w:rPr>
              <w:t>Општи циљ/принципи развоја:    Интегрирани  раст</w:t>
            </w:r>
          </w:p>
        </w:tc>
      </w:tr>
      <w:tr w:rsidR="00622B13" w:rsidRPr="000F256F" w:rsidTr="00F033F3">
        <w:trPr>
          <w:trHeight w:val="525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3" w:rsidRPr="00EE739D" w:rsidRDefault="00622B13" w:rsidP="00622B13">
            <w:pPr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hr-HR"/>
              </w:rPr>
              <w:t>Стратешки циљ :  Унаприједити развој конкурентног економског окружења</w:t>
            </w:r>
          </w:p>
        </w:tc>
      </w:tr>
      <w:tr w:rsidR="00622B13" w:rsidRPr="000F256F" w:rsidTr="00F033F3">
        <w:trPr>
          <w:trHeight w:val="825"/>
        </w:trPr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3" w:rsidRPr="00EE739D" w:rsidRDefault="00622B13" w:rsidP="00622B13">
            <w:pPr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hr-HR"/>
              </w:rPr>
              <w:t>Средњорочни циљ:   Унаприједити систем инфраструктуре квалитета у складу са ЕУ легислативама  и добром праксом ЕУ, ефикаснију регулацију тржишта у сврху обезбјеђења слободног кретања роба и услуга и тржишне фер конкуренције</w:t>
            </w:r>
          </w:p>
        </w:tc>
      </w:tr>
      <w:tr w:rsidR="00A344F5" w:rsidRPr="000F256F" w:rsidTr="00D1209B">
        <w:trPr>
          <w:trHeight w:val="70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F256F" w:rsidRPr="00EE739D" w:rsidRDefault="00622B13" w:rsidP="00622B1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Назив подзаконског акта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F256F" w:rsidRPr="00EE739D" w:rsidRDefault="00622B13" w:rsidP="00622B1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 xml:space="preserve">Носилац активности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F256F" w:rsidRPr="00EE739D" w:rsidRDefault="00622B13" w:rsidP="00622B1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>Разлози за доношење подзаконског акта*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F256F" w:rsidRPr="00EE739D" w:rsidRDefault="00622B13" w:rsidP="00622B1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sr-Cyrl-BA"/>
              </w:rPr>
              <w:t xml:space="preserve">Планирани квартал за провођење </w:t>
            </w:r>
          </w:p>
        </w:tc>
      </w:tr>
      <w:tr w:rsidR="000F256F" w:rsidRPr="000F256F" w:rsidTr="00D1209B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6F" w:rsidRPr="00EE739D" w:rsidRDefault="000F256F" w:rsidP="000F256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6F" w:rsidRPr="00EE739D" w:rsidRDefault="000F256F" w:rsidP="000F256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6F" w:rsidRPr="00EE739D" w:rsidRDefault="000F256F" w:rsidP="000F256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6F" w:rsidRPr="00EE739D" w:rsidRDefault="000F256F" w:rsidP="000F256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</w:rPr>
              <w:t>4</w:t>
            </w:r>
          </w:p>
        </w:tc>
      </w:tr>
      <w:tr w:rsidR="00630563" w:rsidRPr="000F256F" w:rsidTr="00A73C08">
        <w:trPr>
          <w:trHeight w:val="8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563" w:rsidRPr="00EE739D" w:rsidRDefault="00630563" w:rsidP="006305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sr-Cyrl-BA"/>
              </w:rPr>
            </w:pPr>
            <w:r w:rsidRPr="00EE739D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 </w:t>
            </w:r>
            <w:r w:rsidRPr="00EE739D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sr-Cyrl-BA"/>
              </w:rPr>
              <w:t>Правилник о динамичком систему куповине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563" w:rsidRPr="00EE739D" w:rsidRDefault="00A73C08" w:rsidP="00A73C08">
            <w:pPr>
              <w:jc w:val="center"/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Сектор за правне послове и послове обуке и анализе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563" w:rsidRPr="00EE739D" w:rsidRDefault="00630563" w:rsidP="006305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</w:rPr>
              <w:t>Даље усклађивање легислативе о јавним набавкама са директивама ЕУ, са циљем што транспарентнијег и ефикаснијег трошења јавних средстава.</w:t>
            </w:r>
          </w:p>
          <w:p w:rsidR="00630563" w:rsidRPr="00EE739D" w:rsidRDefault="00630563" w:rsidP="006305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sr-Cyrl-BA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563" w:rsidRPr="00EE739D" w:rsidRDefault="00630563" w:rsidP="006305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val="sr-Cyrl-BA"/>
              </w:rPr>
            </w:pP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  <w:lang w:val="sr-Latn-BA"/>
              </w:rPr>
              <w:t xml:space="preserve">IV </w:t>
            </w: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  <w:lang w:val="sr-Cyrl-BA"/>
              </w:rPr>
              <w:t>Квартал</w:t>
            </w:r>
          </w:p>
        </w:tc>
      </w:tr>
      <w:tr w:rsidR="00A73C08" w:rsidRPr="000F256F" w:rsidTr="00A73C08">
        <w:trPr>
          <w:trHeight w:val="8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C08" w:rsidRPr="00EE739D" w:rsidRDefault="00A73C08" w:rsidP="006305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sr-Cyrl-BA"/>
              </w:rPr>
            </w:pPr>
            <w:r w:rsidRPr="00EE739D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sr-Cyrl-BA"/>
              </w:rPr>
              <w:t>Правилник о измјенама и допунама Правилника о праћењу поступака јавних набавки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C08" w:rsidRPr="00EE739D" w:rsidRDefault="00A73C08" w:rsidP="0063056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hr-HR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hr-HR"/>
              </w:rPr>
              <w:t>Сектор за правне послове и послове обуке и анализе –Филијала Мостар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C08" w:rsidRPr="00EE739D" w:rsidRDefault="00A9482A" w:rsidP="006305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</w:rPr>
              <w:t>Хармонизација са Директивама ЕУ, као и реалној потреби уоченој кроз праћење претходн</w:t>
            </w:r>
            <w:r w:rsidR="00E87600" w:rsidRPr="00EE739D">
              <w:rPr>
                <w:rFonts w:ascii="Cambria" w:eastAsia="Times New Roman" w:hAnsi="Cambria" w:cs="Arial"/>
                <w:bCs/>
                <w:sz w:val="18"/>
                <w:szCs w:val="18"/>
                <w:lang w:val="sr-Cyrl-BA"/>
              </w:rPr>
              <w:t>и</w:t>
            </w: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</w:rPr>
              <w:t>х година</w:t>
            </w: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C08" w:rsidRPr="00EE739D" w:rsidRDefault="00A9482A" w:rsidP="006305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val="sr-Cyrl-BA"/>
              </w:rPr>
            </w:pP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  <w:lang w:val="sr-Cyrl-BA"/>
              </w:rPr>
              <w:t>2019. година</w:t>
            </w:r>
          </w:p>
        </w:tc>
      </w:tr>
    </w:tbl>
    <w:p w:rsidR="001A43B8" w:rsidRDefault="001A43B8" w:rsidP="009F765D">
      <w:pPr>
        <w:spacing w:line="360" w:lineRule="auto"/>
        <w:rPr>
          <w:rFonts w:ascii="Cambria" w:hAnsi="Cambria"/>
        </w:rPr>
      </w:pPr>
    </w:p>
    <w:p w:rsidR="00930C76" w:rsidRDefault="00930C76" w:rsidP="009F765D">
      <w:pPr>
        <w:spacing w:line="360" w:lineRule="auto"/>
        <w:rPr>
          <w:rFonts w:ascii="Cambria" w:hAnsi="Cambria"/>
        </w:rPr>
      </w:pPr>
    </w:p>
    <w:p w:rsidR="00930C76" w:rsidRDefault="00930C76" w:rsidP="009F765D">
      <w:pPr>
        <w:spacing w:line="360" w:lineRule="auto"/>
        <w:rPr>
          <w:rFonts w:ascii="Cambria" w:hAnsi="Cambria"/>
        </w:rPr>
      </w:pPr>
    </w:p>
    <w:p w:rsidR="00630563" w:rsidRDefault="00630563" w:rsidP="009F765D">
      <w:pPr>
        <w:spacing w:line="360" w:lineRule="auto"/>
        <w:rPr>
          <w:rFonts w:ascii="Cambria" w:hAnsi="Cambria"/>
        </w:rPr>
      </w:pPr>
    </w:p>
    <w:p w:rsidR="00630563" w:rsidRDefault="00630563" w:rsidP="009F765D">
      <w:pPr>
        <w:spacing w:line="360" w:lineRule="auto"/>
        <w:rPr>
          <w:rFonts w:ascii="Cambria" w:hAnsi="Cambria"/>
        </w:rPr>
      </w:pPr>
    </w:p>
    <w:tbl>
      <w:tblPr>
        <w:tblStyle w:val="TableGrid1"/>
        <w:tblW w:w="14142" w:type="dxa"/>
        <w:tblInd w:w="137" w:type="dxa"/>
        <w:tblLook w:val="04A0" w:firstRow="1" w:lastRow="0" w:firstColumn="1" w:lastColumn="0" w:noHBand="0" w:noVBand="1"/>
      </w:tblPr>
      <w:tblGrid>
        <w:gridCol w:w="4361"/>
        <w:gridCol w:w="1417"/>
        <w:gridCol w:w="6521"/>
        <w:gridCol w:w="1843"/>
      </w:tblGrid>
      <w:tr w:rsidR="001A43B8" w:rsidRPr="00630543" w:rsidTr="000842A7">
        <w:trPr>
          <w:trHeight w:val="410"/>
        </w:trPr>
        <w:tc>
          <w:tcPr>
            <w:tcW w:w="14142" w:type="dxa"/>
            <w:gridSpan w:val="4"/>
            <w:shd w:val="clear" w:color="auto" w:fill="76923C" w:themeFill="accent3" w:themeFillShade="BF"/>
            <w:vAlign w:val="center"/>
          </w:tcPr>
          <w:p w:rsidR="001A43B8" w:rsidRPr="00AF72F4" w:rsidRDefault="001A43B8" w:rsidP="00AF72F4">
            <w:pPr>
              <w:ind w:right="1871"/>
              <w:rPr>
                <w:rFonts w:ascii="Cambria" w:hAnsi="Cambria" w:cs="Arial"/>
                <w:sz w:val="16"/>
                <w:szCs w:val="16"/>
              </w:rPr>
            </w:pPr>
            <w:r w:rsidRPr="00E24DE1">
              <w:rPr>
                <w:rFonts w:ascii="Cambria" w:eastAsia="Times New Roman" w:hAnsi="Cambria" w:cs="Arial"/>
                <w:bCs/>
                <w:color w:val="FFFFFF"/>
                <w:sz w:val="18"/>
                <w:szCs w:val="18"/>
                <w:lang w:val="hr-HR" w:eastAsia="hr-HR"/>
              </w:rPr>
              <w:lastRenderedPageBreak/>
              <w:t xml:space="preserve">VII – </w:t>
            </w:r>
            <w:r w:rsidR="00630563" w:rsidRPr="00E24DE1">
              <w:rPr>
                <w:rFonts w:ascii="Cambria" w:eastAsia="Times New Roman" w:hAnsi="Cambria" w:cs="Arial"/>
                <w:bCs/>
                <w:color w:val="FFFFFF"/>
                <w:sz w:val="18"/>
                <w:szCs w:val="18"/>
                <w:lang w:val="sr-Cyrl-BA" w:eastAsia="hr-HR"/>
              </w:rPr>
              <w:t xml:space="preserve"> ТЕМАТСКИ ДИО ГОДИШЊЕГ ПРОГРАМА РАДА АГЕНЦИЈЕ ЗА ЈАВНЕ НАБАВКЕ БИХ</w:t>
            </w:r>
          </w:p>
        </w:tc>
      </w:tr>
      <w:tr w:rsidR="00630563" w:rsidRPr="00630543" w:rsidTr="000842A7">
        <w:trPr>
          <w:trHeight w:val="533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63" w:rsidRPr="00EE739D" w:rsidRDefault="00630563" w:rsidP="00630563">
            <w:pPr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hr-HR"/>
              </w:rPr>
              <w:t>Општи циљ/принципи развоја:  Интегрирани  раст</w:t>
            </w:r>
          </w:p>
        </w:tc>
      </w:tr>
      <w:tr w:rsidR="00630563" w:rsidRPr="00630543" w:rsidTr="000842A7">
        <w:trPr>
          <w:trHeight w:val="427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63" w:rsidRPr="00EE739D" w:rsidRDefault="00630563" w:rsidP="00630563">
            <w:pPr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hr-HR"/>
              </w:rPr>
              <w:t>Стратешки циљ :  Унаприједити развој конкурентног економског окружења</w:t>
            </w:r>
          </w:p>
        </w:tc>
      </w:tr>
      <w:tr w:rsidR="00630563" w:rsidRPr="00630543" w:rsidTr="000842A7">
        <w:trPr>
          <w:trHeight w:val="702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63" w:rsidRPr="00EE739D" w:rsidRDefault="00630563" w:rsidP="00630563">
            <w:pPr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hr-HR"/>
              </w:rPr>
              <w:t>Средњорочни циљ:   Унаприједити систем инфраструктуре квалитета у складу са ЕУ легислативама  и добром праксом ЕУ, ефикаснију регулацију тржишта у сврху обезбјеђења слободног кретања роба и услуга и тржишне фер конкуренције</w:t>
            </w:r>
          </w:p>
        </w:tc>
      </w:tr>
      <w:tr w:rsidR="001A43B8" w:rsidRPr="00630543" w:rsidTr="000842A7">
        <w:tc>
          <w:tcPr>
            <w:tcW w:w="4361" w:type="dxa"/>
            <w:shd w:val="clear" w:color="auto" w:fill="D6E3BC" w:themeFill="accent3" w:themeFillTint="66"/>
          </w:tcPr>
          <w:p w:rsidR="001A43B8" w:rsidRPr="00EE739D" w:rsidRDefault="001A43B8" w:rsidP="00167037">
            <w:pPr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val="hr-HR" w:eastAsia="hr-HR"/>
              </w:rPr>
            </w:pPr>
          </w:p>
          <w:p w:rsidR="001A43B8" w:rsidRPr="00EE739D" w:rsidRDefault="00630563" w:rsidP="00167037">
            <w:pPr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val="hr-HR" w:eastAsia="hr-HR"/>
              </w:rPr>
            </w:pP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  <w:lang w:val="sr-Cyrl-BA" w:eastAsia="hr-HR"/>
              </w:rPr>
              <w:t xml:space="preserve">Назив материјала </w:t>
            </w:r>
          </w:p>
          <w:p w:rsidR="001A43B8" w:rsidRPr="00EE739D" w:rsidRDefault="001A43B8" w:rsidP="00630563">
            <w:pPr>
              <w:rPr>
                <w:rFonts w:ascii="Cambria" w:eastAsia="Times New Roman" w:hAnsi="Cambria" w:cs="Arial"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1A43B8" w:rsidRPr="00EE739D" w:rsidRDefault="00630563" w:rsidP="00630563">
            <w:pPr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val="sr-Cyrl-BA" w:eastAsia="hr-HR"/>
              </w:rPr>
            </w:pP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  <w:lang w:val="sr-Cyrl-BA" w:eastAsia="hr-HR"/>
              </w:rPr>
              <w:t>Носилац активности</w:t>
            </w:r>
          </w:p>
        </w:tc>
        <w:tc>
          <w:tcPr>
            <w:tcW w:w="6521" w:type="dxa"/>
            <w:shd w:val="clear" w:color="auto" w:fill="D6E3BC" w:themeFill="accent3" w:themeFillTint="66"/>
          </w:tcPr>
          <w:p w:rsidR="001A43B8" w:rsidRPr="00EE739D" w:rsidRDefault="001A43B8" w:rsidP="00167037">
            <w:pPr>
              <w:rPr>
                <w:rFonts w:ascii="Cambria" w:eastAsia="Times New Roman" w:hAnsi="Cambria" w:cs="Arial"/>
                <w:bCs/>
                <w:sz w:val="18"/>
                <w:szCs w:val="18"/>
                <w:lang w:val="hr-HR" w:eastAsia="hr-HR"/>
              </w:rPr>
            </w:pPr>
          </w:p>
          <w:p w:rsidR="001A43B8" w:rsidRPr="00EE739D" w:rsidRDefault="00630563" w:rsidP="00630563">
            <w:pPr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val="hr-HR" w:eastAsia="hr-HR"/>
              </w:rPr>
            </w:pP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  <w:lang w:val="sr-Cyrl-BA" w:eastAsia="hr-HR"/>
              </w:rPr>
              <w:t xml:space="preserve">Разлози за разматрање предложеног материјала 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A43B8" w:rsidRPr="00EE739D" w:rsidRDefault="00630563" w:rsidP="00EE739D">
            <w:pPr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val="hr-HR" w:eastAsia="hr-HR"/>
              </w:rPr>
            </w:pP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  <w:lang w:val="sr-Cyrl-BA" w:eastAsia="hr-HR"/>
              </w:rPr>
              <w:t>Планирани квартал за провођење</w:t>
            </w:r>
          </w:p>
        </w:tc>
      </w:tr>
      <w:tr w:rsidR="001A43B8" w:rsidRPr="00630543" w:rsidTr="000842A7">
        <w:tc>
          <w:tcPr>
            <w:tcW w:w="4361" w:type="dxa"/>
            <w:tcBorders>
              <w:bottom w:val="single" w:sz="4" w:space="0" w:color="auto"/>
            </w:tcBorders>
          </w:tcPr>
          <w:p w:rsidR="001A43B8" w:rsidRPr="00EE739D" w:rsidRDefault="001A43B8" w:rsidP="0016703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E739D">
              <w:rPr>
                <w:rFonts w:ascii="Cambria" w:hAnsi="Cambria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43B8" w:rsidRPr="00EE739D" w:rsidRDefault="001A43B8" w:rsidP="0016703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E739D">
              <w:rPr>
                <w:rFonts w:ascii="Cambria" w:hAnsi="Cambria" w:cs="Arial"/>
                <w:sz w:val="18"/>
                <w:szCs w:val="18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A43B8" w:rsidRPr="00EE739D" w:rsidRDefault="001A43B8" w:rsidP="0016703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E739D">
              <w:rPr>
                <w:rFonts w:ascii="Cambria" w:hAnsi="Cambria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43B8" w:rsidRPr="00EE739D" w:rsidRDefault="001A43B8" w:rsidP="0016703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E739D">
              <w:rPr>
                <w:rFonts w:ascii="Cambria" w:hAnsi="Cambria" w:cs="Arial"/>
                <w:sz w:val="18"/>
                <w:szCs w:val="18"/>
              </w:rPr>
              <w:t>4</w:t>
            </w:r>
          </w:p>
        </w:tc>
      </w:tr>
      <w:tr w:rsidR="001A43B8" w:rsidRPr="00630543" w:rsidTr="000842A7">
        <w:trPr>
          <w:trHeight w:val="488"/>
        </w:trPr>
        <w:tc>
          <w:tcPr>
            <w:tcW w:w="14142" w:type="dxa"/>
            <w:gridSpan w:val="4"/>
            <w:shd w:val="clear" w:color="auto" w:fill="D6E3BC" w:themeFill="accent3" w:themeFillTint="66"/>
            <w:vAlign w:val="center"/>
          </w:tcPr>
          <w:p w:rsidR="001A43B8" w:rsidRPr="00EE739D" w:rsidRDefault="00630563" w:rsidP="00630563">
            <w:pPr>
              <w:rPr>
                <w:sz w:val="18"/>
                <w:szCs w:val="18"/>
              </w:rPr>
            </w:pPr>
            <w:r w:rsidRPr="00EE739D">
              <w:rPr>
                <w:rFonts w:ascii="Cambria" w:hAnsi="Cambria" w:cs="Arial"/>
                <w:b/>
                <w:sz w:val="18"/>
                <w:szCs w:val="18"/>
                <w:shd w:val="clear" w:color="auto" w:fill="D6E3BC" w:themeFill="accent3" w:themeFillTint="66"/>
              </w:rPr>
              <w:t>Програм : Јачање система јавних набавки</w:t>
            </w:r>
          </w:p>
        </w:tc>
      </w:tr>
      <w:tr w:rsidR="001A43B8" w:rsidRPr="00630543" w:rsidTr="000842A7">
        <w:trPr>
          <w:trHeight w:val="1582"/>
        </w:trPr>
        <w:tc>
          <w:tcPr>
            <w:tcW w:w="4361" w:type="dxa"/>
            <w:vAlign w:val="center"/>
          </w:tcPr>
          <w:p w:rsidR="00630563" w:rsidRPr="00EE739D" w:rsidRDefault="00630563" w:rsidP="00060BCA">
            <w:pPr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  <w:t xml:space="preserve">Извјештај: </w:t>
            </w:r>
          </w:p>
          <w:p w:rsidR="001A43B8" w:rsidRPr="00EE739D" w:rsidRDefault="00630563" w:rsidP="00630563">
            <w:pPr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  <w:t>Годишњи извјештај о закљученим уговорима у поступцима јавних набавки</w:t>
            </w:r>
          </w:p>
        </w:tc>
        <w:tc>
          <w:tcPr>
            <w:tcW w:w="1417" w:type="dxa"/>
            <w:vAlign w:val="center"/>
          </w:tcPr>
          <w:p w:rsidR="001A43B8" w:rsidRPr="00EE739D" w:rsidRDefault="00630563" w:rsidP="00EE739D">
            <w:pPr>
              <w:jc w:val="center"/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  <w:lang w:val="hr-HR" w:eastAsia="hr-HR"/>
              </w:rPr>
              <w:t>Сектор за правне послове и послове обуке и анализе</w:t>
            </w:r>
          </w:p>
        </w:tc>
        <w:tc>
          <w:tcPr>
            <w:tcW w:w="6521" w:type="dxa"/>
            <w:vAlign w:val="center"/>
          </w:tcPr>
          <w:p w:rsidR="001A43B8" w:rsidRPr="00EE739D" w:rsidRDefault="00630563" w:rsidP="00EE739D">
            <w:pPr>
              <w:jc w:val="both"/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  <w:t>Обавеза АЈН у складу с чланом 92)  став 3). тачка ф)  Закона о јавним набавкама  је прикупљање података, израда анализа и објављивање информација у вези с поступцима јавних набавки и додјељеним уговорима о јавним набавкама.</w:t>
            </w:r>
          </w:p>
        </w:tc>
        <w:tc>
          <w:tcPr>
            <w:tcW w:w="1843" w:type="dxa"/>
            <w:vAlign w:val="center"/>
          </w:tcPr>
          <w:p w:rsidR="001A43B8" w:rsidRPr="00EE739D" w:rsidRDefault="00622B13" w:rsidP="00167037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 w:eastAsia="hr-HR"/>
              </w:rPr>
            </w:pPr>
            <w:r w:rsidRPr="00EE739D">
              <w:rPr>
                <w:rFonts w:ascii="Cambria" w:eastAsia="Times New Roman" w:hAnsi="Cambria" w:cs="Arial"/>
                <w:iCs/>
                <w:sz w:val="18"/>
                <w:szCs w:val="18"/>
                <w:lang w:val="hr-HR" w:eastAsia="hr-HR"/>
              </w:rPr>
              <w:t>2019</w:t>
            </w:r>
            <w:r w:rsidR="001A43B8" w:rsidRPr="00EE739D"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  <w:t>.</w:t>
            </w:r>
            <w:r w:rsidR="00630563" w:rsidRPr="00EE739D">
              <w:rPr>
                <w:rFonts w:ascii="Cambria" w:eastAsia="Times New Roman" w:hAnsi="Cambria" w:cs="Arial"/>
                <w:sz w:val="18"/>
                <w:szCs w:val="18"/>
                <w:lang w:val="sr-Cyrl-BA" w:eastAsia="hr-HR"/>
              </w:rPr>
              <w:t xml:space="preserve"> година</w:t>
            </w:r>
          </w:p>
        </w:tc>
      </w:tr>
      <w:tr w:rsidR="001A43B8" w:rsidRPr="00630543" w:rsidTr="000842A7">
        <w:tc>
          <w:tcPr>
            <w:tcW w:w="4361" w:type="dxa"/>
            <w:vAlign w:val="center"/>
          </w:tcPr>
          <w:p w:rsidR="00630563" w:rsidRPr="00EE739D" w:rsidRDefault="00630563" w:rsidP="00B5158A">
            <w:pPr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  <w:t xml:space="preserve">Информација : </w:t>
            </w:r>
          </w:p>
          <w:p w:rsidR="001A43B8" w:rsidRPr="00EE739D" w:rsidRDefault="00630563" w:rsidP="00630563">
            <w:pPr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  <w:t>Информација о одржаним обукама из области јавних набавки</w:t>
            </w:r>
          </w:p>
        </w:tc>
        <w:tc>
          <w:tcPr>
            <w:tcW w:w="1417" w:type="dxa"/>
            <w:vAlign w:val="center"/>
          </w:tcPr>
          <w:p w:rsidR="001A43B8" w:rsidRPr="00EE739D" w:rsidRDefault="00630563" w:rsidP="00EE739D">
            <w:pPr>
              <w:jc w:val="center"/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  <w:lang w:val="hr-HR" w:eastAsia="hr-HR"/>
              </w:rPr>
              <w:t>Сектор за правне послове и послове обуке и анализе –Филијала Бања Лука</w:t>
            </w:r>
          </w:p>
        </w:tc>
        <w:tc>
          <w:tcPr>
            <w:tcW w:w="6521" w:type="dxa"/>
            <w:vAlign w:val="center"/>
          </w:tcPr>
          <w:p w:rsidR="001A43B8" w:rsidRPr="00EE739D" w:rsidRDefault="00630563" w:rsidP="00EE739D">
            <w:pPr>
              <w:jc w:val="both"/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  <w:t>Обавеза АЈН у складу с чланом 92)  став 3). Тачка и)  Закона о јавним набавкама  је вођење евиденције, израда анализа, објављивање информација о организованим и одржаним обукама за овлаштене предаваче и лица која раде на пословима јавних набавки.</w:t>
            </w:r>
          </w:p>
        </w:tc>
        <w:tc>
          <w:tcPr>
            <w:tcW w:w="1843" w:type="dxa"/>
            <w:vAlign w:val="center"/>
          </w:tcPr>
          <w:p w:rsidR="001A43B8" w:rsidRPr="00EE739D" w:rsidRDefault="00622B13" w:rsidP="00167037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 w:eastAsia="hr-HR"/>
              </w:rPr>
            </w:pPr>
            <w:r w:rsidRPr="00EE739D">
              <w:rPr>
                <w:rFonts w:ascii="Cambria" w:eastAsia="Times New Roman" w:hAnsi="Cambria" w:cs="Arial"/>
                <w:iCs/>
                <w:sz w:val="18"/>
                <w:szCs w:val="18"/>
                <w:lang w:val="hr-HR" w:eastAsia="hr-HR"/>
              </w:rPr>
              <w:t>2019</w:t>
            </w:r>
            <w:r w:rsidR="001A43B8" w:rsidRPr="00EE739D"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  <w:t>.</w:t>
            </w:r>
            <w:r w:rsidR="00630563" w:rsidRPr="00EE739D">
              <w:rPr>
                <w:rFonts w:ascii="Cambria" w:eastAsia="Times New Roman" w:hAnsi="Cambria" w:cs="Arial"/>
                <w:sz w:val="18"/>
                <w:szCs w:val="18"/>
                <w:lang w:val="sr-Cyrl-BA" w:eastAsia="hr-HR"/>
              </w:rPr>
              <w:t xml:space="preserve"> година</w:t>
            </w:r>
          </w:p>
        </w:tc>
      </w:tr>
      <w:tr w:rsidR="001A43B8" w:rsidRPr="00630543" w:rsidTr="000842A7">
        <w:tc>
          <w:tcPr>
            <w:tcW w:w="4361" w:type="dxa"/>
            <w:vAlign w:val="center"/>
          </w:tcPr>
          <w:p w:rsidR="00630563" w:rsidRPr="00EE739D" w:rsidRDefault="00630563" w:rsidP="00AF72F4">
            <w:pPr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  <w:t xml:space="preserve">Извјештај: </w:t>
            </w:r>
          </w:p>
          <w:p w:rsidR="001A43B8" w:rsidRPr="00EE739D" w:rsidRDefault="00630563" w:rsidP="00AF72F4">
            <w:pPr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  <w:t>Годишњи извјештај о праћењу  поступака јавних набавки</w:t>
            </w:r>
          </w:p>
        </w:tc>
        <w:tc>
          <w:tcPr>
            <w:tcW w:w="1417" w:type="dxa"/>
            <w:vAlign w:val="center"/>
          </w:tcPr>
          <w:p w:rsidR="001A43B8" w:rsidRPr="00EE739D" w:rsidRDefault="00630563" w:rsidP="00EE739D">
            <w:pPr>
              <w:jc w:val="center"/>
              <w:rPr>
                <w:sz w:val="18"/>
                <w:szCs w:val="18"/>
              </w:rPr>
            </w:pPr>
            <w:r w:rsidRPr="00EE739D">
              <w:rPr>
                <w:rFonts w:ascii="Cambria" w:eastAsia="Times New Roman" w:hAnsi="Cambria" w:cs="Arial"/>
                <w:bCs/>
                <w:sz w:val="18"/>
                <w:szCs w:val="18"/>
                <w:lang w:val="hr-HR" w:eastAsia="hr-HR"/>
              </w:rPr>
              <w:t>Сектор за правне послове и послове обуке и анализе –Филијала Мостар</w:t>
            </w:r>
          </w:p>
        </w:tc>
        <w:tc>
          <w:tcPr>
            <w:tcW w:w="6521" w:type="dxa"/>
            <w:vAlign w:val="center"/>
          </w:tcPr>
          <w:p w:rsidR="001A43B8" w:rsidRPr="00EE739D" w:rsidRDefault="001A43B8" w:rsidP="00167037">
            <w:pPr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val="hr-HR" w:eastAsia="hr-HR"/>
              </w:rPr>
            </w:pPr>
          </w:p>
        </w:tc>
        <w:tc>
          <w:tcPr>
            <w:tcW w:w="1843" w:type="dxa"/>
            <w:vAlign w:val="center"/>
          </w:tcPr>
          <w:p w:rsidR="001A43B8" w:rsidRPr="00EE739D" w:rsidRDefault="00630563" w:rsidP="00167037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val="sr-Cyrl-BA" w:eastAsia="hr-HR"/>
              </w:rPr>
            </w:pPr>
            <w:r w:rsidRPr="00EE739D">
              <w:rPr>
                <w:rFonts w:ascii="Cambria" w:eastAsia="Times New Roman" w:hAnsi="Cambria" w:cs="Arial"/>
                <w:sz w:val="18"/>
                <w:szCs w:val="18"/>
                <w:lang w:val="sr-Cyrl-BA" w:eastAsia="hr-HR"/>
              </w:rPr>
              <w:t>2019. година</w:t>
            </w:r>
          </w:p>
        </w:tc>
      </w:tr>
    </w:tbl>
    <w:p w:rsidR="00FF30A3" w:rsidRDefault="00FF30A3" w:rsidP="008D0D7F">
      <w:pPr>
        <w:sectPr w:rsidR="00FF30A3" w:rsidSect="005B2846">
          <w:pgSz w:w="16838" w:h="11906" w:orient="landscape"/>
          <w:pgMar w:top="1418" w:right="1418" w:bottom="709" w:left="1418" w:header="709" w:footer="709" w:gutter="0"/>
          <w:pgNumType w:start="0"/>
          <w:cols w:space="708"/>
          <w:titlePg/>
          <w:docGrid w:linePitch="360"/>
        </w:sectPr>
      </w:pPr>
    </w:p>
    <w:bookmarkEnd w:id="0"/>
    <w:p w:rsidR="00A37AEA" w:rsidRPr="00753E2D" w:rsidRDefault="00A37AEA" w:rsidP="00B82B7A">
      <w:pPr>
        <w:spacing w:line="360" w:lineRule="auto"/>
        <w:rPr>
          <w:rFonts w:ascii="Cambria" w:hAnsi="Cambria"/>
          <w:sz w:val="16"/>
          <w:szCs w:val="16"/>
        </w:rPr>
      </w:pPr>
    </w:p>
    <w:sectPr w:rsidR="00A37AEA" w:rsidRPr="00753E2D" w:rsidSect="005A279A">
      <w:pgSz w:w="11906" w:h="16838"/>
      <w:pgMar w:top="1418" w:right="709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E1" w:rsidRDefault="008970E1" w:rsidP="00974067">
      <w:pPr>
        <w:spacing w:after="0" w:line="240" w:lineRule="auto"/>
      </w:pPr>
      <w:r>
        <w:separator/>
      </w:r>
    </w:p>
  </w:endnote>
  <w:endnote w:type="continuationSeparator" w:id="0">
    <w:p w:rsidR="008970E1" w:rsidRDefault="008970E1" w:rsidP="0097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743933"/>
      <w:docPartObj>
        <w:docPartGallery w:val="Page Numbers (Bottom of Page)"/>
        <w:docPartUnique/>
      </w:docPartObj>
    </w:sdtPr>
    <w:sdtEndPr/>
    <w:sdtContent>
      <w:p w:rsidR="006A58E2" w:rsidRDefault="006A58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A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A58E2" w:rsidRDefault="006A5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E1" w:rsidRDefault="008970E1" w:rsidP="00974067">
      <w:pPr>
        <w:spacing w:after="0" w:line="240" w:lineRule="auto"/>
      </w:pPr>
      <w:r>
        <w:separator/>
      </w:r>
    </w:p>
  </w:footnote>
  <w:footnote w:type="continuationSeparator" w:id="0">
    <w:p w:rsidR="008970E1" w:rsidRDefault="008970E1" w:rsidP="0097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E2" w:rsidRPr="002872A2" w:rsidRDefault="006A58E2" w:rsidP="0014367C">
    <w:pPr>
      <w:keepNext/>
      <w:spacing w:after="0" w:line="240" w:lineRule="auto"/>
      <w:jc w:val="center"/>
      <w:outlineLvl w:val="0"/>
      <w:rPr>
        <w:rFonts w:ascii="Verdana" w:eastAsia="Times New Roman" w:hAnsi="Verdana" w:cs="Arial"/>
        <w:b/>
        <w:bCs/>
        <w:sz w:val="16"/>
        <w:szCs w:val="16"/>
        <w:lang w:val="hr-HR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76" w:rsidRDefault="00A367F1" w:rsidP="00930C76">
    <w:pPr>
      <w:keepNext/>
      <w:spacing w:after="0" w:line="240" w:lineRule="auto"/>
      <w:outlineLvl w:val="0"/>
      <w:rPr>
        <w:rFonts w:ascii="Verdana" w:eastAsia="Times New Roman" w:hAnsi="Verdana" w:cs="Arial"/>
        <w:b/>
        <w:bCs/>
        <w:sz w:val="20"/>
        <w:szCs w:val="20"/>
        <w:lang w:val="sr-Cyrl-CS"/>
      </w:rPr>
    </w:pPr>
    <w:r>
      <w:rPr>
        <w:rFonts w:ascii="Verdana" w:eastAsia="Times New Roman" w:hAnsi="Verdana" w:cs="Arial"/>
        <w:b/>
        <w:bCs/>
        <w:sz w:val="20"/>
        <w:szCs w:val="20"/>
        <w:lang w:val="sr-Cyrl-BA"/>
      </w:rPr>
      <w:t xml:space="preserve">  </w:t>
    </w:r>
    <w:r w:rsidR="00711AA0">
      <w:rPr>
        <w:rFonts w:ascii="Verdana" w:eastAsia="Times New Roman" w:hAnsi="Verdana" w:cs="Arial"/>
        <w:b/>
        <w:bCs/>
        <w:sz w:val="20"/>
        <w:szCs w:val="20"/>
        <w:lang w:val="sr-Latn-BA"/>
      </w:rPr>
      <w:t xml:space="preserve">    </w:t>
    </w:r>
    <w:r w:rsidR="00930C76">
      <w:rPr>
        <w:rFonts w:ascii="Verdana" w:eastAsia="Times New Roman" w:hAnsi="Verdana" w:cs="Arial"/>
        <w:b/>
        <w:bCs/>
        <w:sz w:val="20"/>
        <w:szCs w:val="20"/>
        <w:lang w:val="sr-Cyrl-BA"/>
      </w:rPr>
      <w:t xml:space="preserve">  </w:t>
    </w:r>
    <w:r w:rsidR="00711AA0">
      <w:rPr>
        <w:rFonts w:ascii="Verdana" w:eastAsia="Times New Roman" w:hAnsi="Verdana" w:cs="Arial"/>
        <w:b/>
        <w:bCs/>
        <w:sz w:val="20"/>
        <w:szCs w:val="20"/>
        <w:lang w:val="sr-Latn-BA"/>
      </w:rPr>
      <w:t xml:space="preserve"> </w:t>
    </w:r>
    <w:r w:rsidR="006A58E2" w:rsidRPr="002872A2">
      <w:rPr>
        <w:rFonts w:ascii="Verdana" w:eastAsia="Times New Roman" w:hAnsi="Verdana" w:cs="Arial"/>
        <w:b/>
        <w:bCs/>
        <w:sz w:val="20"/>
        <w:szCs w:val="20"/>
        <w:lang w:val="hr-HR"/>
      </w:rPr>
      <w:t>BOSNA I</w:t>
    </w:r>
    <w:r w:rsidR="006711C1">
      <w:rPr>
        <w:rFonts w:ascii="Verdana" w:eastAsia="Times New Roman" w:hAnsi="Verdana" w:cs="Arial"/>
        <w:b/>
        <w:bCs/>
        <w:sz w:val="20"/>
        <w:szCs w:val="20"/>
        <w:lang w:val="hr-HR"/>
      </w:rPr>
      <w:t xml:space="preserve"> HERCEGOVINA         </w:t>
    </w:r>
    <w:r>
      <w:rPr>
        <w:rFonts w:ascii="Verdana" w:eastAsia="Times New Roman" w:hAnsi="Verdana" w:cs="Arial"/>
        <w:b/>
        <w:bCs/>
        <w:sz w:val="20"/>
        <w:szCs w:val="20"/>
        <w:lang w:val="hr-HR"/>
      </w:rPr>
      <w:t xml:space="preserve"> </w:t>
    </w:r>
    <w:r w:rsidR="006A58E2" w:rsidRPr="002872A2">
      <w:rPr>
        <w:rFonts w:ascii="Verdana" w:eastAsia="Times New Roman" w:hAnsi="Verdana" w:cs="Arial"/>
        <w:b/>
        <w:bCs/>
        <w:sz w:val="20"/>
        <w:szCs w:val="20"/>
        <w:lang w:val="hr-HR"/>
      </w:rPr>
      <w:t xml:space="preserve"> </w:t>
    </w:r>
    <w:r w:rsidR="008D0D7F" w:rsidRPr="002872A2">
      <w:rPr>
        <w:rFonts w:ascii="Verdana" w:eastAsia="Times New Roman" w:hAnsi="Verdana" w:cs="Arial"/>
        <w:b/>
        <w:bCs/>
        <w:sz w:val="20"/>
        <w:szCs w:val="20"/>
        <w:lang w:val="hr-HR"/>
      </w:rPr>
      <w:object w:dxaOrig="576" w:dyaOrig="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8pt;height:36.95pt">
          <v:imagedata r:id="rId1" o:title=""/>
        </v:shape>
        <o:OLEObject Type="Embed" ProgID="CorelDraw.Graphic.7" ShapeID="_x0000_i1025" DrawAspect="Content" ObjectID="_1595050115" r:id="rId2"/>
      </w:object>
    </w:r>
    <w:r w:rsidR="00930C76">
      <w:rPr>
        <w:rFonts w:ascii="Verdana" w:eastAsia="Times New Roman" w:hAnsi="Verdana" w:cs="Arial"/>
        <w:b/>
        <w:bCs/>
        <w:sz w:val="20"/>
        <w:szCs w:val="20"/>
        <w:lang w:val="hr-HR"/>
      </w:rPr>
      <w:t xml:space="preserve">        </w:t>
    </w:r>
    <w:r>
      <w:rPr>
        <w:rFonts w:ascii="Verdana" w:eastAsia="Times New Roman" w:hAnsi="Verdana" w:cs="Arial"/>
        <w:b/>
        <w:bCs/>
        <w:sz w:val="20"/>
        <w:szCs w:val="20"/>
        <w:lang w:val="hr-HR"/>
      </w:rPr>
      <w:t xml:space="preserve"> </w:t>
    </w:r>
    <w:r w:rsidR="006A58E2" w:rsidRPr="002872A2">
      <w:rPr>
        <w:rFonts w:ascii="Verdana" w:eastAsia="Times New Roman" w:hAnsi="Verdana" w:cs="Arial"/>
        <w:b/>
        <w:bCs/>
        <w:sz w:val="20"/>
        <w:szCs w:val="20"/>
        <w:lang w:val="sr-Cyrl-CS"/>
      </w:rPr>
      <w:t xml:space="preserve">БОСНА И </w:t>
    </w:r>
    <w:r w:rsidR="00555728">
      <w:rPr>
        <w:rFonts w:ascii="Verdana" w:eastAsia="Times New Roman" w:hAnsi="Verdana" w:cs="Arial"/>
        <w:b/>
        <w:bCs/>
        <w:sz w:val="20"/>
        <w:szCs w:val="20"/>
      </w:rPr>
      <w:t>H</w:t>
    </w:r>
    <w:r w:rsidR="006A58E2" w:rsidRPr="002872A2">
      <w:rPr>
        <w:rFonts w:ascii="Verdana" w:eastAsia="Times New Roman" w:hAnsi="Verdana" w:cs="Arial"/>
        <w:b/>
        <w:bCs/>
        <w:sz w:val="20"/>
        <w:szCs w:val="20"/>
        <w:lang w:val="sr-Cyrl-CS"/>
      </w:rPr>
      <w:t>ЕРЦЕГОВИНА</w:t>
    </w:r>
  </w:p>
  <w:p w:rsidR="0079290B" w:rsidRPr="00930C76" w:rsidRDefault="00930C76" w:rsidP="00930C76">
    <w:pPr>
      <w:keepNext/>
      <w:spacing w:after="0" w:line="240" w:lineRule="auto"/>
      <w:outlineLvl w:val="0"/>
      <w:rPr>
        <w:rFonts w:ascii="Verdana" w:eastAsia="Times New Roman" w:hAnsi="Verdana" w:cs="Arial"/>
        <w:b/>
        <w:bCs/>
        <w:sz w:val="20"/>
        <w:szCs w:val="20"/>
        <w:lang w:val="sr-Cyrl-CS"/>
      </w:rPr>
    </w:pPr>
    <w:r>
      <w:rPr>
        <w:rFonts w:ascii="Verdana" w:eastAsia="Times New Roman" w:hAnsi="Verdana" w:cs="Arial"/>
        <w:b/>
        <w:bCs/>
        <w:sz w:val="16"/>
        <w:szCs w:val="16"/>
        <w:lang w:val="sr-Cyrl-BA"/>
      </w:rPr>
      <w:t xml:space="preserve">   </w:t>
    </w:r>
    <w:r w:rsidR="006A58E2" w:rsidRPr="002872A2">
      <w:rPr>
        <w:rFonts w:ascii="Verdana" w:eastAsia="Times New Roman" w:hAnsi="Verdana" w:cs="Arial"/>
        <w:b/>
        <w:bCs/>
        <w:sz w:val="16"/>
        <w:szCs w:val="16"/>
        <w:lang w:val="hr-HR"/>
      </w:rPr>
      <w:t xml:space="preserve">AGENCIJA ZA JAVNE NABAVKE/NABAVE                </w:t>
    </w:r>
    <w:r w:rsidR="006A58E2">
      <w:rPr>
        <w:rFonts w:ascii="Verdana" w:eastAsia="Times New Roman" w:hAnsi="Verdana" w:cs="Arial"/>
        <w:b/>
        <w:bCs/>
        <w:sz w:val="16"/>
        <w:szCs w:val="16"/>
        <w:lang w:val="hr-HR"/>
      </w:rPr>
      <w:t xml:space="preserve"> </w:t>
    </w:r>
    <w:r w:rsidR="008D0D7F">
      <w:rPr>
        <w:rFonts w:ascii="Verdana" w:eastAsia="Times New Roman" w:hAnsi="Verdana" w:cs="Arial"/>
        <w:b/>
        <w:bCs/>
        <w:sz w:val="16"/>
        <w:szCs w:val="16"/>
        <w:lang w:val="hr-HR"/>
      </w:rPr>
      <w:t xml:space="preserve">   </w:t>
    </w:r>
    <w:r w:rsidR="00711AA0">
      <w:rPr>
        <w:rFonts w:ascii="Verdana" w:eastAsia="Times New Roman" w:hAnsi="Verdana" w:cs="Arial"/>
        <w:b/>
        <w:bCs/>
        <w:sz w:val="16"/>
        <w:szCs w:val="16"/>
        <w:lang w:val="hr-HR"/>
      </w:rPr>
      <w:t xml:space="preserve">       </w:t>
    </w:r>
    <w:r w:rsidR="006A58E2" w:rsidRPr="002872A2">
      <w:rPr>
        <w:rFonts w:ascii="Verdana" w:eastAsia="Times New Roman" w:hAnsi="Verdana" w:cs="Arial"/>
        <w:b/>
        <w:bCs/>
        <w:sz w:val="16"/>
        <w:szCs w:val="16"/>
        <w:lang w:val="sr-Cyrl-CS"/>
      </w:rPr>
      <w:t>АГЕНЦИЈА ЗА ЈА</w:t>
    </w:r>
    <w:r w:rsidR="006A58E2" w:rsidRPr="002872A2">
      <w:rPr>
        <w:rFonts w:ascii="Verdana" w:eastAsia="Times New Roman" w:hAnsi="Verdana" w:cs="Arial"/>
        <w:b/>
        <w:bCs/>
        <w:sz w:val="16"/>
        <w:szCs w:val="16"/>
        <w:lang w:val="hr-HR"/>
      </w:rPr>
      <w:t>B</w:t>
    </w:r>
    <w:r w:rsidR="006A58E2" w:rsidRPr="002872A2">
      <w:rPr>
        <w:rFonts w:ascii="Verdana" w:eastAsia="Times New Roman" w:hAnsi="Verdana" w:cs="Arial"/>
        <w:b/>
        <w:bCs/>
        <w:sz w:val="16"/>
        <w:szCs w:val="16"/>
        <w:lang w:val="sr-Cyrl-CS"/>
      </w:rPr>
      <w:t>НЕ НАБАВКЕ</w:t>
    </w:r>
  </w:p>
  <w:p w:rsidR="006A58E2" w:rsidRPr="0079290B" w:rsidRDefault="0079290B" w:rsidP="0079290B">
    <w:pPr>
      <w:keepNext/>
      <w:spacing w:after="0" w:line="240" w:lineRule="auto"/>
      <w:jc w:val="both"/>
      <w:outlineLvl w:val="0"/>
      <w:rPr>
        <w:rFonts w:ascii="Arial" w:eastAsia="Times New Roman" w:hAnsi="Arial" w:cs="Arial"/>
        <w:b/>
        <w:bCs/>
        <w:sz w:val="16"/>
        <w:szCs w:val="16"/>
      </w:rPr>
    </w:pPr>
    <w:r>
      <w:rPr>
        <w:rFonts w:ascii="Arial" w:eastAsia="Times New Roman" w:hAnsi="Arial" w:cs="Arial"/>
        <w:b/>
        <w:bCs/>
        <w:sz w:val="16"/>
        <w:szCs w:val="16"/>
        <w:lang w:val="sr-Cyrl-BA"/>
      </w:rPr>
      <w:t xml:space="preserve">                               </w:t>
    </w:r>
    <w:r w:rsidR="00711AA0">
      <w:rPr>
        <w:rFonts w:ascii="Arial" w:eastAsia="Times New Roman" w:hAnsi="Arial" w:cs="Arial"/>
        <w:b/>
        <w:bCs/>
        <w:sz w:val="16"/>
        <w:szCs w:val="16"/>
        <w:lang w:val="sr-Cyrl-BA"/>
      </w:rPr>
      <w:t xml:space="preserve">                            </w:t>
    </w:r>
    <w:r>
      <w:rPr>
        <w:rFonts w:ascii="Arial" w:eastAsia="Times New Roman" w:hAnsi="Arial" w:cs="Arial"/>
        <w:b/>
        <w:bCs/>
        <w:sz w:val="16"/>
        <w:szCs w:val="16"/>
        <w:lang w:val="sr-Cyrl-BA"/>
      </w:rPr>
      <w:t xml:space="preserve"> </w:t>
    </w:r>
    <w:r w:rsidR="00711AA0">
      <w:rPr>
        <w:rFonts w:ascii="Arial" w:eastAsia="Times New Roman" w:hAnsi="Arial" w:cs="Arial"/>
        <w:b/>
        <w:bCs/>
        <w:sz w:val="16"/>
        <w:szCs w:val="16"/>
        <w:lang w:val="sr-Latn-BA"/>
      </w:rPr>
      <w:t xml:space="preserve"> </w:t>
    </w:r>
    <w:r w:rsidR="00930C76">
      <w:rPr>
        <w:rFonts w:ascii="Arial" w:eastAsia="Times New Roman" w:hAnsi="Arial" w:cs="Arial"/>
        <w:b/>
        <w:bCs/>
        <w:sz w:val="16"/>
        <w:szCs w:val="16"/>
        <w:lang w:val="sr-Cyrl-BA"/>
      </w:rPr>
      <w:t xml:space="preserve"> </w:t>
    </w:r>
    <w:r w:rsidR="006A58E2" w:rsidRPr="002872A2">
      <w:rPr>
        <w:rFonts w:ascii="Verdana" w:eastAsia="Times New Roman" w:hAnsi="Verdana" w:cs="Arial"/>
        <w:b/>
        <w:bCs/>
        <w:sz w:val="20"/>
        <w:szCs w:val="20"/>
        <w:lang w:val="hr-HR"/>
      </w:rPr>
      <w:t>BOSNIA AND HERZEGOVINA</w:t>
    </w:r>
  </w:p>
  <w:p w:rsidR="006A58E2" w:rsidRPr="002872A2" w:rsidRDefault="0079290B" w:rsidP="0079290B">
    <w:pPr>
      <w:keepNext/>
      <w:pBdr>
        <w:bottom w:val="single" w:sz="12" w:space="1" w:color="auto"/>
      </w:pBdr>
      <w:spacing w:after="0" w:line="240" w:lineRule="auto"/>
      <w:outlineLvl w:val="1"/>
      <w:rPr>
        <w:rFonts w:ascii="Verdana" w:eastAsia="Times New Roman" w:hAnsi="Verdana" w:cs="Arial"/>
        <w:b/>
        <w:bCs/>
        <w:sz w:val="16"/>
        <w:szCs w:val="16"/>
        <w:lang w:val="hr-HR"/>
      </w:rPr>
    </w:pPr>
    <w:r>
      <w:rPr>
        <w:rFonts w:ascii="Verdana" w:eastAsia="Times New Roman" w:hAnsi="Verdana" w:cs="Arial"/>
        <w:b/>
        <w:bCs/>
        <w:sz w:val="16"/>
        <w:szCs w:val="16"/>
        <w:lang w:val="sr-Cyrl-BA"/>
      </w:rPr>
      <w:t xml:space="preserve">                                              </w:t>
    </w:r>
    <w:r w:rsidR="00711AA0">
      <w:rPr>
        <w:rFonts w:ascii="Verdana" w:eastAsia="Times New Roman" w:hAnsi="Verdana" w:cs="Arial"/>
        <w:b/>
        <w:bCs/>
        <w:sz w:val="16"/>
        <w:szCs w:val="16"/>
        <w:lang w:val="sr-Cyrl-BA"/>
      </w:rPr>
      <w:t xml:space="preserve">   </w:t>
    </w:r>
    <w:r w:rsidR="00711AA0">
      <w:rPr>
        <w:rFonts w:ascii="Verdana" w:eastAsia="Times New Roman" w:hAnsi="Verdana" w:cs="Arial"/>
        <w:b/>
        <w:bCs/>
        <w:sz w:val="16"/>
        <w:szCs w:val="16"/>
        <w:lang w:val="sr-Latn-BA"/>
      </w:rPr>
      <w:t xml:space="preserve"> </w:t>
    </w:r>
    <w:r w:rsidR="00930C76">
      <w:rPr>
        <w:rFonts w:ascii="Verdana" w:eastAsia="Times New Roman" w:hAnsi="Verdana" w:cs="Arial"/>
        <w:b/>
        <w:bCs/>
        <w:sz w:val="16"/>
        <w:szCs w:val="16"/>
        <w:lang w:val="sr-Cyrl-BA"/>
      </w:rPr>
      <w:t xml:space="preserve">  </w:t>
    </w:r>
    <w:r w:rsidR="006A58E2" w:rsidRPr="002872A2">
      <w:rPr>
        <w:rFonts w:ascii="Verdana" w:eastAsia="Times New Roman" w:hAnsi="Verdana" w:cs="Arial"/>
        <w:b/>
        <w:bCs/>
        <w:sz w:val="16"/>
        <w:szCs w:val="16"/>
        <w:lang w:val="hr-HR"/>
      </w:rPr>
      <w:t>PUBLIC PROCUREMENT AGENCY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082"/>
    <w:multiLevelType w:val="hybridMultilevel"/>
    <w:tmpl w:val="F7762A1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15829"/>
    <w:multiLevelType w:val="hybridMultilevel"/>
    <w:tmpl w:val="76367B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D230F"/>
    <w:multiLevelType w:val="multilevel"/>
    <w:tmpl w:val="9768E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3" w15:restartNumberingAfterBreak="0">
    <w:nsid w:val="07283C28"/>
    <w:multiLevelType w:val="hybridMultilevel"/>
    <w:tmpl w:val="1866836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970CFD"/>
    <w:multiLevelType w:val="hybridMultilevel"/>
    <w:tmpl w:val="0AFCE5B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470B"/>
    <w:multiLevelType w:val="hybridMultilevel"/>
    <w:tmpl w:val="9DD0B4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6036"/>
    <w:multiLevelType w:val="hybridMultilevel"/>
    <w:tmpl w:val="4352194E"/>
    <w:lvl w:ilvl="0" w:tplc="8FAC23D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7B355D"/>
    <w:multiLevelType w:val="hybridMultilevel"/>
    <w:tmpl w:val="7862D1A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D7380"/>
    <w:multiLevelType w:val="hybridMultilevel"/>
    <w:tmpl w:val="7C82E578"/>
    <w:lvl w:ilvl="0" w:tplc="D46E2A5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03ADB"/>
    <w:multiLevelType w:val="hybridMultilevel"/>
    <w:tmpl w:val="3840534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F2755B"/>
    <w:multiLevelType w:val="hybridMultilevel"/>
    <w:tmpl w:val="9B7EB3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76157"/>
    <w:multiLevelType w:val="hybridMultilevel"/>
    <w:tmpl w:val="FAC03E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42F6B"/>
    <w:multiLevelType w:val="hybridMultilevel"/>
    <w:tmpl w:val="6114DA8C"/>
    <w:lvl w:ilvl="0" w:tplc="C82A9E9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835C6"/>
    <w:multiLevelType w:val="hybridMultilevel"/>
    <w:tmpl w:val="3A30D722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653F7"/>
    <w:multiLevelType w:val="hybridMultilevel"/>
    <w:tmpl w:val="2BA00C5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D7610"/>
    <w:multiLevelType w:val="hybridMultilevel"/>
    <w:tmpl w:val="4A0643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A3320"/>
    <w:multiLevelType w:val="hybridMultilevel"/>
    <w:tmpl w:val="1F4AA6C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21376"/>
    <w:multiLevelType w:val="hybridMultilevel"/>
    <w:tmpl w:val="C5CCD3FE"/>
    <w:lvl w:ilvl="0" w:tplc="CB8646D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  <w:sz w:val="16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71A4E"/>
    <w:multiLevelType w:val="hybridMultilevel"/>
    <w:tmpl w:val="EC7294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1655"/>
    <w:multiLevelType w:val="hybridMultilevel"/>
    <w:tmpl w:val="78DC0DF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52CF6"/>
    <w:multiLevelType w:val="hybridMultilevel"/>
    <w:tmpl w:val="A20C5048"/>
    <w:lvl w:ilvl="0" w:tplc="343E850E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72943"/>
    <w:multiLevelType w:val="hybridMultilevel"/>
    <w:tmpl w:val="1F4AA6C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220617"/>
    <w:multiLevelType w:val="hybridMultilevel"/>
    <w:tmpl w:val="3AC054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3555DC"/>
    <w:multiLevelType w:val="hybridMultilevel"/>
    <w:tmpl w:val="8E58304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074690"/>
    <w:multiLevelType w:val="multilevel"/>
    <w:tmpl w:val="93C2E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1C2B94"/>
    <w:multiLevelType w:val="hybridMultilevel"/>
    <w:tmpl w:val="311C8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068E"/>
    <w:multiLevelType w:val="hybridMultilevel"/>
    <w:tmpl w:val="2BA00C5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CF5448"/>
    <w:multiLevelType w:val="hybridMultilevel"/>
    <w:tmpl w:val="3F0E8AF0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8974CC"/>
    <w:multiLevelType w:val="multilevel"/>
    <w:tmpl w:val="EB0E2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FA4D5A"/>
    <w:multiLevelType w:val="hybridMultilevel"/>
    <w:tmpl w:val="AD3C6A1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A716E8"/>
    <w:multiLevelType w:val="hybridMultilevel"/>
    <w:tmpl w:val="478E82FE"/>
    <w:lvl w:ilvl="0" w:tplc="F38CEC4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50DF"/>
    <w:multiLevelType w:val="hybridMultilevel"/>
    <w:tmpl w:val="048A7DD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367B68"/>
    <w:multiLevelType w:val="multilevel"/>
    <w:tmpl w:val="9768E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33" w15:restartNumberingAfterBreak="0">
    <w:nsid w:val="79284123"/>
    <w:multiLevelType w:val="hybridMultilevel"/>
    <w:tmpl w:val="01E280B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422256"/>
    <w:multiLevelType w:val="singleLevel"/>
    <w:tmpl w:val="E7F89D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E770DF"/>
    <w:multiLevelType w:val="hybridMultilevel"/>
    <w:tmpl w:val="CEB6A3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19"/>
  </w:num>
  <w:num w:numId="5">
    <w:abstractNumId w:val="9"/>
  </w:num>
  <w:num w:numId="6">
    <w:abstractNumId w:val="31"/>
  </w:num>
  <w:num w:numId="7">
    <w:abstractNumId w:val="7"/>
  </w:num>
  <w:num w:numId="8">
    <w:abstractNumId w:val="23"/>
  </w:num>
  <w:num w:numId="9">
    <w:abstractNumId w:val="29"/>
  </w:num>
  <w:num w:numId="10">
    <w:abstractNumId w:val="22"/>
  </w:num>
  <w:num w:numId="11">
    <w:abstractNumId w:val="3"/>
  </w:num>
  <w:num w:numId="12">
    <w:abstractNumId w:val="26"/>
  </w:num>
  <w:num w:numId="13">
    <w:abstractNumId w:val="14"/>
  </w:num>
  <w:num w:numId="14">
    <w:abstractNumId w:val="0"/>
  </w:num>
  <w:num w:numId="15">
    <w:abstractNumId w:val="33"/>
  </w:num>
  <w:num w:numId="16">
    <w:abstractNumId w:val="21"/>
  </w:num>
  <w:num w:numId="17">
    <w:abstractNumId w:val="16"/>
  </w:num>
  <w:num w:numId="18">
    <w:abstractNumId w:val="1"/>
  </w:num>
  <w:num w:numId="19">
    <w:abstractNumId w:val="28"/>
  </w:num>
  <w:num w:numId="20">
    <w:abstractNumId w:val="32"/>
  </w:num>
  <w:num w:numId="21">
    <w:abstractNumId w:val="15"/>
  </w:num>
  <w:num w:numId="22">
    <w:abstractNumId w:val="27"/>
  </w:num>
  <w:num w:numId="23">
    <w:abstractNumId w:val="11"/>
  </w:num>
  <w:num w:numId="24">
    <w:abstractNumId w:val="13"/>
  </w:num>
  <w:num w:numId="25">
    <w:abstractNumId w:val="2"/>
  </w:num>
  <w:num w:numId="26">
    <w:abstractNumId w:val="4"/>
  </w:num>
  <w:num w:numId="27">
    <w:abstractNumId w:val="34"/>
  </w:num>
  <w:num w:numId="28">
    <w:abstractNumId w:val="24"/>
  </w:num>
  <w:num w:numId="29">
    <w:abstractNumId w:val="35"/>
  </w:num>
  <w:num w:numId="30">
    <w:abstractNumId w:val="10"/>
  </w:num>
  <w:num w:numId="31">
    <w:abstractNumId w:val="30"/>
  </w:num>
  <w:num w:numId="32">
    <w:abstractNumId w:val="8"/>
  </w:num>
  <w:num w:numId="33">
    <w:abstractNumId w:val="20"/>
  </w:num>
  <w:num w:numId="34">
    <w:abstractNumId w:val="12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CA"/>
    <w:rsid w:val="00002A6C"/>
    <w:rsid w:val="000038C7"/>
    <w:rsid w:val="00005E4B"/>
    <w:rsid w:val="00005F72"/>
    <w:rsid w:val="000065D9"/>
    <w:rsid w:val="00006FD1"/>
    <w:rsid w:val="00010C66"/>
    <w:rsid w:val="0003585A"/>
    <w:rsid w:val="0003647C"/>
    <w:rsid w:val="00040571"/>
    <w:rsid w:val="00041BBA"/>
    <w:rsid w:val="00043C21"/>
    <w:rsid w:val="00044274"/>
    <w:rsid w:val="000550CF"/>
    <w:rsid w:val="000552C8"/>
    <w:rsid w:val="0006170E"/>
    <w:rsid w:val="000638C8"/>
    <w:rsid w:val="0006686C"/>
    <w:rsid w:val="000711E7"/>
    <w:rsid w:val="0007249D"/>
    <w:rsid w:val="00077428"/>
    <w:rsid w:val="000827D1"/>
    <w:rsid w:val="000842A7"/>
    <w:rsid w:val="00085BE7"/>
    <w:rsid w:val="000879DE"/>
    <w:rsid w:val="00087B1D"/>
    <w:rsid w:val="00093E7D"/>
    <w:rsid w:val="00095286"/>
    <w:rsid w:val="000969F8"/>
    <w:rsid w:val="000A1697"/>
    <w:rsid w:val="000A1AD3"/>
    <w:rsid w:val="000A3993"/>
    <w:rsid w:val="000A3B54"/>
    <w:rsid w:val="000A6CC6"/>
    <w:rsid w:val="000B2E77"/>
    <w:rsid w:val="000B2EE7"/>
    <w:rsid w:val="000B38E8"/>
    <w:rsid w:val="000C014B"/>
    <w:rsid w:val="000C3B7D"/>
    <w:rsid w:val="000C4840"/>
    <w:rsid w:val="000C50C3"/>
    <w:rsid w:val="000C6AB7"/>
    <w:rsid w:val="000D0830"/>
    <w:rsid w:val="000D0B15"/>
    <w:rsid w:val="000D5891"/>
    <w:rsid w:val="000D66CD"/>
    <w:rsid w:val="000E28C8"/>
    <w:rsid w:val="000E4B9A"/>
    <w:rsid w:val="000F256F"/>
    <w:rsid w:val="000F4B62"/>
    <w:rsid w:val="000F5046"/>
    <w:rsid w:val="000F57A5"/>
    <w:rsid w:val="00100AE4"/>
    <w:rsid w:val="001017B5"/>
    <w:rsid w:val="00110009"/>
    <w:rsid w:val="001131D9"/>
    <w:rsid w:val="001171F5"/>
    <w:rsid w:val="00117FA5"/>
    <w:rsid w:val="0012237E"/>
    <w:rsid w:val="001226D7"/>
    <w:rsid w:val="0012556B"/>
    <w:rsid w:val="00125C42"/>
    <w:rsid w:val="001262D2"/>
    <w:rsid w:val="00127E4B"/>
    <w:rsid w:val="001300CE"/>
    <w:rsid w:val="00130E13"/>
    <w:rsid w:val="0013245A"/>
    <w:rsid w:val="00136E20"/>
    <w:rsid w:val="0014367C"/>
    <w:rsid w:val="001450F3"/>
    <w:rsid w:val="00150A3F"/>
    <w:rsid w:val="00150EEA"/>
    <w:rsid w:val="001511BD"/>
    <w:rsid w:val="0015513A"/>
    <w:rsid w:val="00155434"/>
    <w:rsid w:val="00155A72"/>
    <w:rsid w:val="0015668E"/>
    <w:rsid w:val="00156A85"/>
    <w:rsid w:val="00166CAC"/>
    <w:rsid w:val="00167037"/>
    <w:rsid w:val="001711F7"/>
    <w:rsid w:val="00171D80"/>
    <w:rsid w:val="00173F89"/>
    <w:rsid w:val="001801E9"/>
    <w:rsid w:val="00180263"/>
    <w:rsid w:val="00180EFE"/>
    <w:rsid w:val="00181F3C"/>
    <w:rsid w:val="00182AF1"/>
    <w:rsid w:val="00182B94"/>
    <w:rsid w:val="00185922"/>
    <w:rsid w:val="00193A3B"/>
    <w:rsid w:val="00193CFC"/>
    <w:rsid w:val="001A43B8"/>
    <w:rsid w:val="001A4BD6"/>
    <w:rsid w:val="001B2AE1"/>
    <w:rsid w:val="001B2F82"/>
    <w:rsid w:val="001B4CC9"/>
    <w:rsid w:val="001B536E"/>
    <w:rsid w:val="001B5E39"/>
    <w:rsid w:val="001B6595"/>
    <w:rsid w:val="001B6801"/>
    <w:rsid w:val="001C1472"/>
    <w:rsid w:val="001C2678"/>
    <w:rsid w:val="001C2DF9"/>
    <w:rsid w:val="001C62AF"/>
    <w:rsid w:val="001C6529"/>
    <w:rsid w:val="001C687E"/>
    <w:rsid w:val="001C6A1D"/>
    <w:rsid w:val="001C700E"/>
    <w:rsid w:val="001D230F"/>
    <w:rsid w:val="001D566E"/>
    <w:rsid w:val="001E0310"/>
    <w:rsid w:val="001E0774"/>
    <w:rsid w:val="001E2C50"/>
    <w:rsid w:val="001E43E0"/>
    <w:rsid w:val="001E6CF3"/>
    <w:rsid w:val="001E6FE4"/>
    <w:rsid w:val="001F27CC"/>
    <w:rsid w:val="001F60E2"/>
    <w:rsid w:val="00203D74"/>
    <w:rsid w:val="002055D7"/>
    <w:rsid w:val="00205973"/>
    <w:rsid w:val="0021050E"/>
    <w:rsid w:val="00215A73"/>
    <w:rsid w:val="0022181F"/>
    <w:rsid w:val="00222588"/>
    <w:rsid w:val="00223B0E"/>
    <w:rsid w:val="00225D7E"/>
    <w:rsid w:val="002309F4"/>
    <w:rsid w:val="00231328"/>
    <w:rsid w:val="00232219"/>
    <w:rsid w:val="00233F49"/>
    <w:rsid w:val="0023407B"/>
    <w:rsid w:val="002354F6"/>
    <w:rsid w:val="002358A6"/>
    <w:rsid w:val="002424A7"/>
    <w:rsid w:val="00242DBF"/>
    <w:rsid w:val="00243775"/>
    <w:rsid w:val="002459E2"/>
    <w:rsid w:val="00247247"/>
    <w:rsid w:val="002522B6"/>
    <w:rsid w:val="00252B4C"/>
    <w:rsid w:val="0025443A"/>
    <w:rsid w:val="00255AD4"/>
    <w:rsid w:val="00260CD2"/>
    <w:rsid w:val="002612D0"/>
    <w:rsid w:val="002615EC"/>
    <w:rsid w:val="0026425B"/>
    <w:rsid w:val="00274502"/>
    <w:rsid w:val="002808AF"/>
    <w:rsid w:val="00280FD8"/>
    <w:rsid w:val="002834AB"/>
    <w:rsid w:val="00283A6D"/>
    <w:rsid w:val="00284381"/>
    <w:rsid w:val="0028680F"/>
    <w:rsid w:val="00287288"/>
    <w:rsid w:val="002872A2"/>
    <w:rsid w:val="00290113"/>
    <w:rsid w:val="00290406"/>
    <w:rsid w:val="0029167F"/>
    <w:rsid w:val="002A298A"/>
    <w:rsid w:val="002A310C"/>
    <w:rsid w:val="002B0619"/>
    <w:rsid w:val="002B49E1"/>
    <w:rsid w:val="002B55A1"/>
    <w:rsid w:val="002C1474"/>
    <w:rsid w:val="002C2470"/>
    <w:rsid w:val="002C4F7D"/>
    <w:rsid w:val="002C7965"/>
    <w:rsid w:val="002C7ADE"/>
    <w:rsid w:val="002C7E16"/>
    <w:rsid w:val="002D3620"/>
    <w:rsid w:val="002D4858"/>
    <w:rsid w:val="002D67A8"/>
    <w:rsid w:val="002D6A19"/>
    <w:rsid w:val="002D6DB4"/>
    <w:rsid w:val="002E7D9A"/>
    <w:rsid w:val="002F0458"/>
    <w:rsid w:val="002F305A"/>
    <w:rsid w:val="002F3843"/>
    <w:rsid w:val="00300987"/>
    <w:rsid w:val="00301FF2"/>
    <w:rsid w:val="00304E64"/>
    <w:rsid w:val="0031019B"/>
    <w:rsid w:val="00310707"/>
    <w:rsid w:val="00311147"/>
    <w:rsid w:val="00312141"/>
    <w:rsid w:val="003147DC"/>
    <w:rsid w:val="00315D77"/>
    <w:rsid w:val="003173EE"/>
    <w:rsid w:val="003202BE"/>
    <w:rsid w:val="00320A11"/>
    <w:rsid w:val="00320CC3"/>
    <w:rsid w:val="00320D93"/>
    <w:rsid w:val="0032296D"/>
    <w:rsid w:val="003317A9"/>
    <w:rsid w:val="003337DF"/>
    <w:rsid w:val="00334005"/>
    <w:rsid w:val="003344E6"/>
    <w:rsid w:val="00334EC7"/>
    <w:rsid w:val="00336D6C"/>
    <w:rsid w:val="0034270E"/>
    <w:rsid w:val="00342D0B"/>
    <w:rsid w:val="003500FA"/>
    <w:rsid w:val="00355767"/>
    <w:rsid w:val="0035658B"/>
    <w:rsid w:val="00360A45"/>
    <w:rsid w:val="00360BF9"/>
    <w:rsid w:val="0036251F"/>
    <w:rsid w:val="003629D8"/>
    <w:rsid w:val="00363A51"/>
    <w:rsid w:val="003650E7"/>
    <w:rsid w:val="00366971"/>
    <w:rsid w:val="00376AD2"/>
    <w:rsid w:val="00377A99"/>
    <w:rsid w:val="00382ECB"/>
    <w:rsid w:val="003831CD"/>
    <w:rsid w:val="00383B2F"/>
    <w:rsid w:val="003850F8"/>
    <w:rsid w:val="00385E0F"/>
    <w:rsid w:val="003875B8"/>
    <w:rsid w:val="00391C89"/>
    <w:rsid w:val="00392E59"/>
    <w:rsid w:val="00394B08"/>
    <w:rsid w:val="00396116"/>
    <w:rsid w:val="003A03A8"/>
    <w:rsid w:val="003A0DDF"/>
    <w:rsid w:val="003A0E30"/>
    <w:rsid w:val="003A2622"/>
    <w:rsid w:val="003A50A0"/>
    <w:rsid w:val="003A69EF"/>
    <w:rsid w:val="003A78DF"/>
    <w:rsid w:val="003A792E"/>
    <w:rsid w:val="003B1C90"/>
    <w:rsid w:val="003B1E49"/>
    <w:rsid w:val="003B672A"/>
    <w:rsid w:val="003C0D5D"/>
    <w:rsid w:val="003C41F9"/>
    <w:rsid w:val="003C6123"/>
    <w:rsid w:val="003D0778"/>
    <w:rsid w:val="003D09AF"/>
    <w:rsid w:val="003D1C60"/>
    <w:rsid w:val="003D1ED5"/>
    <w:rsid w:val="003D6C04"/>
    <w:rsid w:val="003D740C"/>
    <w:rsid w:val="003E0187"/>
    <w:rsid w:val="003E06D5"/>
    <w:rsid w:val="003E0B02"/>
    <w:rsid w:val="003E1615"/>
    <w:rsid w:val="003E1FC4"/>
    <w:rsid w:val="003E30D1"/>
    <w:rsid w:val="003E3401"/>
    <w:rsid w:val="003E41FF"/>
    <w:rsid w:val="003E53EF"/>
    <w:rsid w:val="003E58D9"/>
    <w:rsid w:val="003E7193"/>
    <w:rsid w:val="003E74C5"/>
    <w:rsid w:val="003E750B"/>
    <w:rsid w:val="003F388B"/>
    <w:rsid w:val="003F57DB"/>
    <w:rsid w:val="003F659E"/>
    <w:rsid w:val="003F6C55"/>
    <w:rsid w:val="003F760A"/>
    <w:rsid w:val="004011EB"/>
    <w:rsid w:val="004015E8"/>
    <w:rsid w:val="00402B22"/>
    <w:rsid w:val="00405621"/>
    <w:rsid w:val="00407875"/>
    <w:rsid w:val="004113AF"/>
    <w:rsid w:val="00411B57"/>
    <w:rsid w:val="00411D15"/>
    <w:rsid w:val="0041244E"/>
    <w:rsid w:val="00413144"/>
    <w:rsid w:val="00415C34"/>
    <w:rsid w:val="00420C05"/>
    <w:rsid w:val="00422C62"/>
    <w:rsid w:val="00424059"/>
    <w:rsid w:val="00425EF8"/>
    <w:rsid w:val="00426823"/>
    <w:rsid w:val="00426ADA"/>
    <w:rsid w:val="00430102"/>
    <w:rsid w:val="004304EE"/>
    <w:rsid w:val="00432058"/>
    <w:rsid w:val="004335C1"/>
    <w:rsid w:val="004354F7"/>
    <w:rsid w:val="0044317B"/>
    <w:rsid w:val="00446568"/>
    <w:rsid w:val="004528DD"/>
    <w:rsid w:val="004550B4"/>
    <w:rsid w:val="00456A9E"/>
    <w:rsid w:val="004578DF"/>
    <w:rsid w:val="004601CC"/>
    <w:rsid w:val="0046147D"/>
    <w:rsid w:val="00466C29"/>
    <w:rsid w:val="00471259"/>
    <w:rsid w:val="00472117"/>
    <w:rsid w:val="00474881"/>
    <w:rsid w:val="00474C6A"/>
    <w:rsid w:val="004750BD"/>
    <w:rsid w:val="00476C82"/>
    <w:rsid w:val="0048049C"/>
    <w:rsid w:val="0048306A"/>
    <w:rsid w:val="004859EB"/>
    <w:rsid w:val="00486A4D"/>
    <w:rsid w:val="00490411"/>
    <w:rsid w:val="00491056"/>
    <w:rsid w:val="00491B1C"/>
    <w:rsid w:val="00492651"/>
    <w:rsid w:val="00494588"/>
    <w:rsid w:val="004A02F7"/>
    <w:rsid w:val="004A1FBA"/>
    <w:rsid w:val="004A3DE9"/>
    <w:rsid w:val="004A41F8"/>
    <w:rsid w:val="004A4D3C"/>
    <w:rsid w:val="004A76E7"/>
    <w:rsid w:val="004B1475"/>
    <w:rsid w:val="004B196D"/>
    <w:rsid w:val="004B1D11"/>
    <w:rsid w:val="004B520D"/>
    <w:rsid w:val="004B7403"/>
    <w:rsid w:val="004C0AAE"/>
    <w:rsid w:val="004C33AC"/>
    <w:rsid w:val="004C503C"/>
    <w:rsid w:val="004D440B"/>
    <w:rsid w:val="004D4B40"/>
    <w:rsid w:val="004D627D"/>
    <w:rsid w:val="004E0B79"/>
    <w:rsid w:val="004E0CF6"/>
    <w:rsid w:val="004E2075"/>
    <w:rsid w:val="004E240E"/>
    <w:rsid w:val="004E2BE4"/>
    <w:rsid w:val="004E5E54"/>
    <w:rsid w:val="004E7CE0"/>
    <w:rsid w:val="004F0A6C"/>
    <w:rsid w:val="004F24E7"/>
    <w:rsid w:val="004F2A73"/>
    <w:rsid w:val="004F3054"/>
    <w:rsid w:val="004F32B6"/>
    <w:rsid w:val="004F43FA"/>
    <w:rsid w:val="004F61D4"/>
    <w:rsid w:val="004F671B"/>
    <w:rsid w:val="00502BFF"/>
    <w:rsid w:val="0050308E"/>
    <w:rsid w:val="0050432A"/>
    <w:rsid w:val="005060A0"/>
    <w:rsid w:val="005119FC"/>
    <w:rsid w:val="00512C27"/>
    <w:rsid w:val="005139BA"/>
    <w:rsid w:val="00513E23"/>
    <w:rsid w:val="0051442D"/>
    <w:rsid w:val="00514966"/>
    <w:rsid w:val="00514EC7"/>
    <w:rsid w:val="0052060F"/>
    <w:rsid w:val="00523FA4"/>
    <w:rsid w:val="00524BA2"/>
    <w:rsid w:val="00524E47"/>
    <w:rsid w:val="00527562"/>
    <w:rsid w:val="00527CEE"/>
    <w:rsid w:val="00531B16"/>
    <w:rsid w:val="00532E47"/>
    <w:rsid w:val="0053436F"/>
    <w:rsid w:val="00535304"/>
    <w:rsid w:val="00537D00"/>
    <w:rsid w:val="00540BC1"/>
    <w:rsid w:val="00541D0A"/>
    <w:rsid w:val="00544F04"/>
    <w:rsid w:val="00547F1D"/>
    <w:rsid w:val="00550632"/>
    <w:rsid w:val="00555728"/>
    <w:rsid w:val="00555B4C"/>
    <w:rsid w:val="00556D1B"/>
    <w:rsid w:val="005577D2"/>
    <w:rsid w:val="00557DE6"/>
    <w:rsid w:val="00565744"/>
    <w:rsid w:val="0056739E"/>
    <w:rsid w:val="0056797F"/>
    <w:rsid w:val="00570CF0"/>
    <w:rsid w:val="00573854"/>
    <w:rsid w:val="00576AD6"/>
    <w:rsid w:val="00580A94"/>
    <w:rsid w:val="00583C9A"/>
    <w:rsid w:val="00585CD5"/>
    <w:rsid w:val="00587E20"/>
    <w:rsid w:val="00592038"/>
    <w:rsid w:val="0059494A"/>
    <w:rsid w:val="005967B4"/>
    <w:rsid w:val="005A279A"/>
    <w:rsid w:val="005B066B"/>
    <w:rsid w:val="005B1912"/>
    <w:rsid w:val="005B2846"/>
    <w:rsid w:val="005B573E"/>
    <w:rsid w:val="005B6EAD"/>
    <w:rsid w:val="005C1AB4"/>
    <w:rsid w:val="005C3118"/>
    <w:rsid w:val="005C4492"/>
    <w:rsid w:val="005C5C2A"/>
    <w:rsid w:val="005C6FC1"/>
    <w:rsid w:val="005C76A5"/>
    <w:rsid w:val="005D0B55"/>
    <w:rsid w:val="005D1AAC"/>
    <w:rsid w:val="005D1BA4"/>
    <w:rsid w:val="005D282E"/>
    <w:rsid w:val="005D2BC4"/>
    <w:rsid w:val="005D6336"/>
    <w:rsid w:val="005D6B09"/>
    <w:rsid w:val="005D6E4F"/>
    <w:rsid w:val="005E1F36"/>
    <w:rsid w:val="005F1C31"/>
    <w:rsid w:val="005F4258"/>
    <w:rsid w:val="005F4AE3"/>
    <w:rsid w:val="005F7E13"/>
    <w:rsid w:val="00603969"/>
    <w:rsid w:val="00605D70"/>
    <w:rsid w:val="00612718"/>
    <w:rsid w:val="0061302C"/>
    <w:rsid w:val="006172FC"/>
    <w:rsid w:val="00620FC7"/>
    <w:rsid w:val="00622B13"/>
    <w:rsid w:val="00623B70"/>
    <w:rsid w:val="00624D6B"/>
    <w:rsid w:val="00627C65"/>
    <w:rsid w:val="00630563"/>
    <w:rsid w:val="00630B57"/>
    <w:rsid w:val="00630BF0"/>
    <w:rsid w:val="0063178A"/>
    <w:rsid w:val="006327C9"/>
    <w:rsid w:val="00633754"/>
    <w:rsid w:val="00634D16"/>
    <w:rsid w:val="00636DCF"/>
    <w:rsid w:val="0063729C"/>
    <w:rsid w:val="00637C37"/>
    <w:rsid w:val="006402CE"/>
    <w:rsid w:val="006456DB"/>
    <w:rsid w:val="00647A2D"/>
    <w:rsid w:val="00656D87"/>
    <w:rsid w:val="00656E29"/>
    <w:rsid w:val="006578EF"/>
    <w:rsid w:val="006615DC"/>
    <w:rsid w:val="00661E9B"/>
    <w:rsid w:val="0066692C"/>
    <w:rsid w:val="0067087F"/>
    <w:rsid w:val="006711C1"/>
    <w:rsid w:val="00671F51"/>
    <w:rsid w:val="006769AD"/>
    <w:rsid w:val="00677015"/>
    <w:rsid w:val="006774C0"/>
    <w:rsid w:val="00677FAC"/>
    <w:rsid w:val="00684D64"/>
    <w:rsid w:val="0068578C"/>
    <w:rsid w:val="006868DE"/>
    <w:rsid w:val="00690512"/>
    <w:rsid w:val="00690989"/>
    <w:rsid w:val="00691F8E"/>
    <w:rsid w:val="00692210"/>
    <w:rsid w:val="00692B9E"/>
    <w:rsid w:val="0069579D"/>
    <w:rsid w:val="006A58E2"/>
    <w:rsid w:val="006A594E"/>
    <w:rsid w:val="006B2528"/>
    <w:rsid w:val="006B2B5B"/>
    <w:rsid w:val="006B3A80"/>
    <w:rsid w:val="006B58F3"/>
    <w:rsid w:val="006C25B4"/>
    <w:rsid w:val="006C6869"/>
    <w:rsid w:val="006C7FD9"/>
    <w:rsid w:val="006D0765"/>
    <w:rsid w:val="006D2B80"/>
    <w:rsid w:val="006D3D70"/>
    <w:rsid w:val="006D4616"/>
    <w:rsid w:val="006D5346"/>
    <w:rsid w:val="006D5A67"/>
    <w:rsid w:val="006E12BB"/>
    <w:rsid w:val="006E1FFF"/>
    <w:rsid w:val="006E2CC7"/>
    <w:rsid w:val="006E34D3"/>
    <w:rsid w:val="006E403A"/>
    <w:rsid w:val="006E4323"/>
    <w:rsid w:val="006F192B"/>
    <w:rsid w:val="006F7454"/>
    <w:rsid w:val="0070094B"/>
    <w:rsid w:val="00701F9D"/>
    <w:rsid w:val="00702EA9"/>
    <w:rsid w:val="00704F03"/>
    <w:rsid w:val="00706913"/>
    <w:rsid w:val="00707299"/>
    <w:rsid w:val="007077CE"/>
    <w:rsid w:val="00710310"/>
    <w:rsid w:val="00710C49"/>
    <w:rsid w:val="00711AA0"/>
    <w:rsid w:val="0071381A"/>
    <w:rsid w:val="00713FC7"/>
    <w:rsid w:val="00716BDF"/>
    <w:rsid w:val="00717287"/>
    <w:rsid w:val="00720FBB"/>
    <w:rsid w:val="00724123"/>
    <w:rsid w:val="00725F93"/>
    <w:rsid w:val="00727917"/>
    <w:rsid w:val="00732CA7"/>
    <w:rsid w:val="00734FD5"/>
    <w:rsid w:val="00747F8B"/>
    <w:rsid w:val="00750CE8"/>
    <w:rsid w:val="00751163"/>
    <w:rsid w:val="00752617"/>
    <w:rsid w:val="00753E2D"/>
    <w:rsid w:val="00753F8F"/>
    <w:rsid w:val="0075462E"/>
    <w:rsid w:val="007556EE"/>
    <w:rsid w:val="007575C8"/>
    <w:rsid w:val="00757B20"/>
    <w:rsid w:val="00757CCE"/>
    <w:rsid w:val="007605A8"/>
    <w:rsid w:val="00760613"/>
    <w:rsid w:val="00760824"/>
    <w:rsid w:val="00767BCA"/>
    <w:rsid w:val="007702CA"/>
    <w:rsid w:val="00770CA3"/>
    <w:rsid w:val="00772304"/>
    <w:rsid w:val="0077288B"/>
    <w:rsid w:val="00772C4E"/>
    <w:rsid w:val="00774000"/>
    <w:rsid w:val="007770C8"/>
    <w:rsid w:val="007814F3"/>
    <w:rsid w:val="00784EAD"/>
    <w:rsid w:val="00784ED8"/>
    <w:rsid w:val="00785EE9"/>
    <w:rsid w:val="00786DDE"/>
    <w:rsid w:val="0079290B"/>
    <w:rsid w:val="007930E3"/>
    <w:rsid w:val="0079556C"/>
    <w:rsid w:val="0079714B"/>
    <w:rsid w:val="00797FF8"/>
    <w:rsid w:val="007A042F"/>
    <w:rsid w:val="007A2965"/>
    <w:rsid w:val="007A5378"/>
    <w:rsid w:val="007A6037"/>
    <w:rsid w:val="007B04E2"/>
    <w:rsid w:val="007B3CC9"/>
    <w:rsid w:val="007B4145"/>
    <w:rsid w:val="007B68C1"/>
    <w:rsid w:val="007C02BF"/>
    <w:rsid w:val="007C3AE1"/>
    <w:rsid w:val="007C6C20"/>
    <w:rsid w:val="007C78EC"/>
    <w:rsid w:val="007D0D67"/>
    <w:rsid w:val="007D1A1A"/>
    <w:rsid w:val="007D52B0"/>
    <w:rsid w:val="007E0204"/>
    <w:rsid w:val="007E1F38"/>
    <w:rsid w:val="007E5151"/>
    <w:rsid w:val="007E61D4"/>
    <w:rsid w:val="00800AD6"/>
    <w:rsid w:val="00801050"/>
    <w:rsid w:val="00803BBF"/>
    <w:rsid w:val="008045C2"/>
    <w:rsid w:val="0080726E"/>
    <w:rsid w:val="008079DE"/>
    <w:rsid w:val="008079F3"/>
    <w:rsid w:val="00811353"/>
    <w:rsid w:val="00814648"/>
    <w:rsid w:val="008173C8"/>
    <w:rsid w:val="00817822"/>
    <w:rsid w:val="0082216E"/>
    <w:rsid w:val="00823238"/>
    <w:rsid w:val="00831005"/>
    <w:rsid w:val="00832ECB"/>
    <w:rsid w:val="00836753"/>
    <w:rsid w:val="008379B3"/>
    <w:rsid w:val="00841942"/>
    <w:rsid w:val="00842AEE"/>
    <w:rsid w:val="00843BD8"/>
    <w:rsid w:val="00843FF8"/>
    <w:rsid w:val="00844363"/>
    <w:rsid w:val="00844865"/>
    <w:rsid w:val="00855B91"/>
    <w:rsid w:val="00857DA2"/>
    <w:rsid w:val="00861034"/>
    <w:rsid w:val="00862204"/>
    <w:rsid w:val="00870DFE"/>
    <w:rsid w:val="008771DF"/>
    <w:rsid w:val="00882570"/>
    <w:rsid w:val="008848B8"/>
    <w:rsid w:val="00886BDD"/>
    <w:rsid w:val="00887790"/>
    <w:rsid w:val="008878D6"/>
    <w:rsid w:val="008924F6"/>
    <w:rsid w:val="00897051"/>
    <w:rsid w:val="008970E1"/>
    <w:rsid w:val="00897973"/>
    <w:rsid w:val="008A01D4"/>
    <w:rsid w:val="008A0991"/>
    <w:rsid w:val="008A6DBA"/>
    <w:rsid w:val="008B312A"/>
    <w:rsid w:val="008B32F0"/>
    <w:rsid w:val="008B392D"/>
    <w:rsid w:val="008B61BF"/>
    <w:rsid w:val="008C2A51"/>
    <w:rsid w:val="008C75AB"/>
    <w:rsid w:val="008D082A"/>
    <w:rsid w:val="008D0D7F"/>
    <w:rsid w:val="008D0F79"/>
    <w:rsid w:val="008D1BB6"/>
    <w:rsid w:val="008D33E9"/>
    <w:rsid w:val="008D4571"/>
    <w:rsid w:val="008D4979"/>
    <w:rsid w:val="008D7EC0"/>
    <w:rsid w:val="008E1C28"/>
    <w:rsid w:val="008E2247"/>
    <w:rsid w:val="008E45F8"/>
    <w:rsid w:val="008E6222"/>
    <w:rsid w:val="008E6F39"/>
    <w:rsid w:val="008F16FA"/>
    <w:rsid w:val="008F171D"/>
    <w:rsid w:val="008F2968"/>
    <w:rsid w:val="008F562C"/>
    <w:rsid w:val="008F5CB6"/>
    <w:rsid w:val="008F6616"/>
    <w:rsid w:val="00901918"/>
    <w:rsid w:val="00901DD1"/>
    <w:rsid w:val="00902037"/>
    <w:rsid w:val="00903784"/>
    <w:rsid w:val="00904FB0"/>
    <w:rsid w:val="0090521D"/>
    <w:rsid w:val="0091742B"/>
    <w:rsid w:val="009234AF"/>
    <w:rsid w:val="00924277"/>
    <w:rsid w:val="00930BAE"/>
    <w:rsid w:val="00930C76"/>
    <w:rsid w:val="00931E7D"/>
    <w:rsid w:val="0094131D"/>
    <w:rsid w:val="0094378B"/>
    <w:rsid w:val="00946A7E"/>
    <w:rsid w:val="009477E2"/>
    <w:rsid w:val="00947C91"/>
    <w:rsid w:val="00950844"/>
    <w:rsid w:val="00950B43"/>
    <w:rsid w:val="00956666"/>
    <w:rsid w:val="00957F12"/>
    <w:rsid w:val="00960088"/>
    <w:rsid w:val="009603D2"/>
    <w:rsid w:val="009629DE"/>
    <w:rsid w:val="00965EF2"/>
    <w:rsid w:val="00966261"/>
    <w:rsid w:val="00970E37"/>
    <w:rsid w:val="0097104A"/>
    <w:rsid w:val="009713FD"/>
    <w:rsid w:val="009726BB"/>
    <w:rsid w:val="00974067"/>
    <w:rsid w:val="009753BF"/>
    <w:rsid w:val="00976E9F"/>
    <w:rsid w:val="00981BEF"/>
    <w:rsid w:val="0098203C"/>
    <w:rsid w:val="00982656"/>
    <w:rsid w:val="00985798"/>
    <w:rsid w:val="00996141"/>
    <w:rsid w:val="00996727"/>
    <w:rsid w:val="009967D7"/>
    <w:rsid w:val="00996D01"/>
    <w:rsid w:val="00997946"/>
    <w:rsid w:val="009A045A"/>
    <w:rsid w:val="009A0DFC"/>
    <w:rsid w:val="009A2CA4"/>
    <w:rsid w:val="009A5C19"/>
    <w:rsid w:val="009A6629"/>
    <w:rsid w:val="009B0903"/>
    <w:rsid w:val="009B0FCA"/>
    <w:rsid w:val="009B5102"/>
    <w:rsid w:val="009B7BC8"/>
    <w:rsid w:val="009C0A73"/>
    <w:rsid w:val="009C10C9"/>
    <w:rsid w:val="009C10D8"/>
    <w:rsid w:val="009C2AE3"/>
    <w:rsid w:val="009C2FE1"/>
    <w:rsid w:val="009C4D0D"/>
    <w:rsid w:val="009C53E4"/>
    <w:rsid w:val="009C5B8B"/>
    <w:rsid w:val="009C5CE0"/>
    <w:rsid w:val="009C5FEA"/>
    <w:rsid w:val="009C7614"/>
    <w:rsid w:val="009D16C9"/>
    <w:rsid w:val="009D2BC7"/>
    <w:rsid w:val="009D3AA8"/>
    <w:rsid w:val="009D4102"/>
    <w:rsid w:val="009D4DFB"/>
    <w:rsid w:val="009D5544"/>
    <w:rsid w:val="009D589C"/>
    <w:rsid w:val="009D64D0"/>
    <w:rsid w:val="009D7DB0"/>
    <w:rsid w:val="009E159C"/>
    <w:rsid w:val="009E535C"/>
    <w:rsid w:val="009E61CB"/>
    <w:rsid w:val="009E6850"/>
    <w:rsid w:val="009E6DE1"/>
    <w:rsid w:val="009E7793"/>
    <w:rsid w:val="009F28E3"/>
    <w:rsid w:val="009F2B0D"/>
    <w:rsid w:val="009F2CC5"/>
    <w:rsid w:val="009F4D30"/>
    <w:rsid w:val="009F765D"/>
    <w:rsid w:val="00A00555"/>
    <w:rsid w:val="00A02B50"/>
    <w:rsid w:val="00A0389C"/>
    <w:rsid w:val="00A04881"/>
    <w:rsid w:val="00A05014"/>
    <w:rsid w:val="00A06EBF"/>
    <w:rsid w:val="00A104BF"/>
    <w:rsid w:val="00A125C9"/>
    <w:rsid w:val="00A126D4"/>
    <w:rsid w:val="00A132C7"/>
    <w:rsid w:val="00A132DC"/>
    <w:rsid w:val="00A14F15"/>
    <w:rsid w:val="00A176CE"/>
    <w:rsid w:val="00A17E1F"/>
    <w:rsid w:val="00A205FE"/>
    <w:rsid w:val="00A23220"/>
    <w:rsid w:val="00A274DA"/>
    <w:rsid w:val="00A344F5"/>
    <w:rsid w:val="00A35224"/>
    <w:rsid w:val="00A3623D"/>
    <w:rsid w:val="00A36525"/>
    <w:rsid w:val="00A367F1"/>
    <w:rsid w:val="00A370E3"/>
    <w:rsid w:val="00A376A3"/>
    <w:rsid w:val="00A37AEA"/>
    <w:rsid w:val="00A414C8"/>
    <w:rsid w:val="00A4641A"/>
    <w:rsid w:val="00A466DF"/>
    <w:rsid w:val="00A52B88"/>
    <w:rsid w:val="00A543C7"/>
    <w:rsid w:val="00A60257"/>
    <w:rsid w:val="00A61271"/>
    <w:rsid w:val="00A62530"/>
    <w:rsid w:val="00A62F34"/>
    <w:rsid w:val="00A63BE8"/>
    <w:rsid w:val="00A65568"/>
    <w:rsid w:val="00A7012E"/>
    <w:rsid w:val="00A71BAD"/>
    <w:rsid w:val="00A72B46"/>
    <w:rsid w:val="00A73B11"/>
    <w:rsid w:val="00A73C08"/>
    <w:rsid w:val="00A7509B"/>
    <w:rsid w:val="00A832B9"/>
    <w:rsid w:val="00A84B9F"/>
    <w:rsid w:val="00A855EE"/>
    <w:rsid w:val="00A86935"/>
    <w:rsid w:val="00A878A5"/>
    <w:rsid w:val="00A91DBD"/>
    <w:rsid w:val="00A9482A"/>
    <w:rsid w:val="00AA04DC"/>
    <w:rsid w:val="00AA0D46"/>
    <w:rsid w:val="00AA3133"/>
    <w:rsid w:val="00AA4BDE"/>
    <w:rsid w:val="00AA7143"/>
    <w:rsid w:val="00AA7792"/>
    <w:rsid w:val="00AA7A0B"/>
    <w:rsid w:val="00AB0E74"/>
    <w:rsid w:val="00AB2B6F"/>
    <w:rsid w:val="00AB3304"/>
    <w:rsid w:val="00AB3A35"/>
    <w:rsid w:val="00AB3E1F"/>
    <w:rsid w:val="00AB5A07"/>
    <w:rsid w:val="00AB7139"/>
    <w:rsid w:val="00AC11E3"/>
    <w:rsid w:val="00AC48CD"/>
    <w:rsid w:val="00AC515E"/>
    <w:rsid w:val="00AC6B5F"/>
    <w:rsid w:val="00AD00E3"/>
    <w:rsid w:val="00AD0290"/>
    <w:rsid w:val="00AD1E5C"/>
    <w:rsid w:val="00AD342B"/>
    <w:rsid w:val="00AD4E1E"/>
    <w:rsid w:val="00AD5B9D"/>
    <w:rsid w:val="00AD7D23"/>
    <w:rsid w:val="00AD7F92"/>
    <w:rsid w:val="00AE0E0D"/>
    <w:rsid w:val="00AE4C0B"/>
    <w:rsid w:val="00AE5385"/>
    <w:rsid w:val="00AE5BD0"/>
    <w:rsid w:val="00AE5FE5"/>
    <w:rsid w:val="00AE710A"/>
    <w:rsid w:val="00AF4A24"/>
    <w:rsid w:val="00AF67F9"/>
    <w:rsid w:val="00AF72F4"/>
    <w:rsid w:val="00B012A5"/>
    <w:rsid w:val="00B01F4C"/>
    <w:rsid w:val="00B02CB2"/>
    <w:rsid w:val="00B04E63"/>
    <w:rsid w:val="00B050AF"/>
    <w:rsid w:val="00B06B7A"/>
    <w:rsid w:val="00B06FF8"/>
    <w:rsid w:val="00B07B22"/>
    <w:rsid w:val="00B112A1"/>
    <w:rsid w:val="00B1659C"/>
    <w:rsid w:val="00B16B31"/>
    <w:rsid w:val="00B206C9"/>
    <w:rsid w:val="00B2130F"/>
    <w:rsid w:val="00B21A59"/>
    <w:rsid w:val="00B2230C"/>
    <w:rsid w:val="00B23D87"/>
    <w:rsid w:val="00B25068"/>
    <w:rsid w:val="00B25756"/>
    <w:rsid w:val="00B26978"/>
    <w:rsid w:val="00B30E29"/>
    <w:rsid w:val="00B34407"/>
    <w:rsid w:val="00B348A1"/>
    <w:rsid w:val="00B34F89"/>
    <w:rsid w:val="00B365AC"/>
    <w:rsid w:val="00B4035A"/>
    <w:rsid w:val="00B40A7F"/>
    <w:rsid w:val="00B40F13"/>
    <w:rsid w:val="00B41962"/>
    <w:rsid w:val="00B43177"/>
    <w:rsid w:val="00B4520E"/>
    <w:rsid w:val="00B46F34"/>
    <w:rsid w:val="00B47D6D"/>
    <w:rsid w:val="00B50AA6"/>
    <w:rsid w:val="00B516DB"/>
    <w:rsid w:val="00B53E39"/>
    <w:rsid w:val="00B5534D"/>
    <w:rsid w:val="00B55EFA"/>
    <w:rsid w:val="00B56057"/>
    <w:rsid w:val="00B5745D"/>
    <w:rsid w:val="00B57D56"/>
    <w:rsid w:val="00B61198"/>
    <w:rsid w:val="00B61C65"/>
    <w:rsid w:val="00B645B4"/>
    <w:rsid w:val="00B645CE"/>
    <w:rsid w:val="00B65C49"/>
    <w:rsid w:val="00B65CBF"/>
    <w:rsid w:val="00B66201"/>
    <w:rsid w:val="00B67364"/>
    <w:rsid w:val="00B675AD"/>
    <w:rsid w:val="00B71212"/>
    <w:rsid w:val="00B72632"/>
    <w:rsid w:val="00B743CC"/>
    <w:rsid w:val="00B75BFF"/>
    <w:rsid w:val="00B81338"/>
    <w:rsid w:val="00B82B7A"/>
    <w:rsid w:val="00B8403F"/>
    <w:rsid w:val="00B8453D"/>
    <w:rsid w:val="00B84739"/>
    <w:rsid w:val="00B857A8"/>
    <w:rsid w:val="00B92378"/>
    <w:rsid w:val="00B9264E"/>
    <w:rsid w:val="00B93F07"/>
    <w:rsid w:val="00BA00FF"/>
    <w:rsid w:val="00BA2D52"/>
    <w:rsid w:val="00BA470A"/>
    <w:rsid w:val="00BA6456"/>
    <w:rsid w:val="00BB4214"/>
    <w:rsid w:val="00BB4560"/>
    <w:rsid w:val="00BB4E37"/>
    <w:rsid w:val="00BB5A84"/>
    <w:rsid w:val="00BC140A"/>
    <w:rsid w:val="00BC28ED"/>
    <w:rsid w:val="00BD0679"/>
    <w:rsid w:val="00BD0909"/>
    <w:rsid w:val="00BD2AE6"/>
    <w:rsid w:val="00BD3AB5"/>
    <w:rsid w:val="00BD5D64"/>
    <w:rsid w:val="00BD64A1"/>
    <w:rsid w:val="00BE019D"/>
    <w:rsid w:val="00BE28D0"/>
    <w:rsid w:val="00BE29FC"/>
    <w:rsid w:val="00BE464A"/>
    <w:rsid w:val="00BE6855"/>
    <w:rsid w:val="00BE6E2E"/>
    <w:rsid w:val="00BF02D2"/>
    <w:rsid w:val="00BF23F7"/>
    <w:rsid w:val="00BF51F5"/>
    <w:rsid w:val="00BF7FCA"/>
    <w:rsid w:val="00C04EBE"/>
    <w:rsid w:val="00C053CC"/>
    <w:rsid w:val="00C07AD1"/>
    <w:rsid w:val="00C07BB0"/>
    <w:rsid w:val="00C102BA"/>
    <w:rsid w:val="00C10340"/>
    <w:rsid w:val="00C109BE"/>
    <w:rsid w:val="00C11CD8"/>
    <w:rsid w:val="00C13486"/>
    <w:rsid w:val="00C1356E"/>
    <w:rsid w:val="00C13DE9"/>
    <w:rsid w:val="00C14A2E"/>
    <w:rsid w:val="00C15DFD"/>
    <w:rsid w:val="00C16213"/>
    <w:rsid w:val="00C16A3B"/>
    <w:rsid w:val="00C177AD"/>
    <w:rsid w:val="00C22540"/>
    <w:rsid w:val="00C23DAE"/>
    <w:rsid w:val="00C240FB"/>
    <w:rsid w:val="00C24885"/>
    <w:rsid w:val="00C2796D"/>
    <w:rsid w:val="00C304DF"/>
    <w:rsid w:val="00C3148E"/>
    <w:rsid w:val="00C335D2"/>
    <w:rsid w:val="00C35213"/>
    <w:rsid w:val="00C36045"/>
    <w:rsid w:val="00C37A8B"/>
    <w:rsid w:val="00C37F0A"/>
    <w:rsid w:val="00C47806"/>
    <w:rsid w:val="00C501D9"/>
    <w:rsid w:val="00C5721F"/>
    <w:rsid w:val="00C62C08"/>
    <w:rsid w:val="00C62DB4"/>
    <w:rsid w:val="00C63404"/>
    <w:rsid w:val="00C650DA"/>
    <w:rsid w:val="00C704DF"/>
    <w:rsid w:val="00C724EE"/>
    <w:rsid w:val="00C76CE5"/>
    <w:rsid w:val="00C80ED9"/>
    <w:rsid w:val="00C80EFB"/>
    <w:rsid w:val="00C820B6"/>
    <w:rsid w:val="00C822BE"/>
    <w:rsid w:val="00C8327F"/>
    <w:rsid w:val="00C835B5"/>
    <w:rsid w:val="00C840E1"/>
    <w:rsid w:val="00C87999"/>
    <w:rsid w:val="00C87A61"/>
    <w:rsid w:val="00C91BB3"/>
    <w:rsid w:val="00C9235F"/>
    <w:rsid w:val="00C92F81"/>
    <w:rsid w:val="00C94444"/>
    <w:rsid w:val="00C94AD4"/>
    <w:rsid w:val="00C94C38"/>
    <w:rsid w:val="00C951AA"/>
    <w:rsid w:val="00C958E0"/>
    <w:rsid w:val="00C9672F"/>
    <w:rsid w:val="00CB0358"/>
    <w:rsid w:val="00CB11B1"/>
    <w:rsid w:val="00CB27C9"/>
    <w:rsid w:val="00CB5768"/>
    <w:rsid w:val="00CB5AA9"/>
    <w:rsid w:val="00CC00FF"/>
    <w:rsid w:val="00CC15F4"/>
    <w:rsid w:val="00CC484F"/>
    <w:rsid w:val="00CD0046"/>
    <w:rsid w:val="00CD043C"/>
    <w:rsid w:val="00CD17A3"/>
    <w:rsid w:val="00CD6192"/>
    <w:rsid w:val="00CD6786"/>
    <w:rsid w:val="00CD6E56"/>
    <w:rsid w:val="00CD7AF4"/>
    <w:rsid w:val="00CE182D"/>
    <w:rsid w:val="00CE74BA"/>
    <w:rsid w:val="00CF084C"/>
    <w:rsid w:val="00CF2BF1"/>
    <w:rsid w:val="00D0124F"/>
    <w:rsid w:val="00D016D4"/>
    <w:rsid w:val="00D021CA"/>
    <w:rsid w:val="00D04418"/>
    <w:rsid w:val="00D062AC"/>
    <w:rsid w:val="00D06560"/>
    <w:rsid w:val="00D07727"/>
    <w:rsid w:val="00D11722"/>
    <w:rsid w:val="00D1209B"/>
    <w:rsid w:val="00D12B13"/>
    <w:rsid w:val="00D1377B"/>
    <w:rsid w:val="00D14126"/>
    <w:rsid w:val="00D16882"/>
    <w:rsid w:val="00D1695D"/>
    <w:rsid w:val="00D179A1"/>
    <w:rsid w:val="00D17A4B"/>
    <w:rsid w:val="00D21DF9"/>
    <w:rsid w:val="00D221F0"/>
    <w:rsid w:val="00D2391B"/>
    <w:rsid w:val="00D305AE"/>
    <w:rsid w:val="00D3070C"/>
    <w:rsid w:val="00D3536C"/>
    <w:rsid w:val="00D35604"/>
    <w:rsid w:val="00D35A2A"/>
    <w:rsid w:val="00D36656"/>
    <w:rsid w:val="00D37765"/>
    <w:rsid w:val="00D4286A"/>
    <w:rsid w:val="00D44EAA"/>
    <w:rsid w:val="00D50B65"/>
    <w:rsid w:val="00D51652"/>
    <w:rsid w:val="00D612F7"/>
    <w:rsid w:val="00D61E4B"/>
    <w:rsid w:val="00D62154"/>
    <w:rsid w:val="00D631EB"/>
    <w:rsid w:val="00D71D3F"/>
    <w:rsid w:val="00D73FC0"/>
    <w:rsid w:val="00D74A55"/>
    <w:rsid w:val="00D76325"/>
    <w:rsid w:val="00D7706D"/>
    <w:rsid w:val="00D814DA"/>
    <w:rsid w:val="00D8179C"/>
    <w:rsid w:val="00D82356"/>
    <w:rsid w:val="00D9136F"/>
    <w:rsid w:val="00D96214"/>
    <w:rsid w:val="00D967D8"/>
    <w:rsid w:val="00D96822"/>
    <w:rsid w:val="00DA553A"/>
    <w:rsid w:val="00DB234B"/>
    <w:rsid w:val="00DB2FCB"/>
    <w:rsid w:val="00DB36A7"/>
    <w:rsid w:val="00DB4930"/>
    <w:rsid w:val="00DB6926"/>
    <w:rsid w:val="00DC602E"/>
    <w:rsid w:val="00DC6261"/>
    <w:rsid w:val="00DC64B6"/>
    <w:rsid w:val="00DC72FB"/>
    <w:rsid w:val="00DC737C"/>
    <w:rsid w:val="00DC786E"/>
    <w:rsid w:val="00DD0758"/>
    <w:rsid w:val="00DD13D0"/>
    <w:rsid w:val="00DD1829"/>
    <w:rsid w:val="00DD2981"/>
    <w:rsid w:val="00DD2E2B"/>
    <w:rsid w:val="00DD58C2"/>
    <w:rsid w:val="00DD5D6B"/>
    <w:rsid w:val="00DD78E8"/>
    <w:rsid w:val="00DD7A3D"/>
    <w:rsid w:val="00DD7BB5"/>
    <w:rsid w:val="00DD7CAB"/>
    <w:rsid w:val="00DE3026"/>
    <w:rsid w:val="00DE3C5F"/>
    <w:rsid w:val="00DE5095"/>
    <w:rsid w:val="00DE5559"/>
    <w:rsid w:val="00DE6FA3"/>
    <w:rsid w:val="00DE722E"/>
    <w:rsid w:val="00DE7456"/>
    <w:rsid w:val="00DF0AB0"/>
    <w:rsid w:val="00DF32C3"/>
    <w:rsid w:val="00DF3ECC"/>
    <w:rsid w:val="00DF51C2"/>
    <w:rsid w:val="00DF593D"/>
    <w:rsid w:val="00DF6AD3"/>
    <w:rsid w:val="00DF6B76"/>
    <w:rsid w:val="00DF6F6C"/>
    <w:rsid w:val="00E00EFA"/>
    <w:rsid w:val="00E04FAC"/>
    <w:rsid w:val="00E0611F"/>
    <w:rsid w:val="00E0786D"/>
    <w:rsid w:val="00E112ED"/>
    <w:rsid w:val="00E1270C"/>
    <w:rsid w:val="00E1337A"/>
    <w:rsid w:val="00E13669"/>
    <w:rsid w:val="00E13CD6"/>
    <w:rsid w:val="00E1447A"/>
    <w:rsid w:val="00E157D6"/>
    <w:rsid w:val="00E17CF7"/>
    <w:rsid w:val="00E24DE1"/>
    <w:rsid w:val="00E24F87"/>
    <w:rsid w:val="00E26B01"/>
    <w:rsid w:val="00E27F6F"/>
    <w:rsid w:val="00E312D8"/>
    <w:rsid w:val="00E316C5"/>
    <w:rsid w:val="00E36023"/>
    <w:rsid w:val="00E3657B"/>
    <w:rsid w:val="00E4337B"/>
    <w:rsid w:val="00E4394B"/>
    <w:rsid w:val="00E45B01"/>
    <w:rsid w:val="00E4630F"/>
    <w:rsid w:val="00E502E7"/>
    <w:rsid w:val="00E528E7"/>
    <w:rsid w:val="00E538A1"/>
    <w:rsid w:val="00E53DA2"/>
    <w:rsid w:val="00E542FB"/>
    <w:rsid w:val="00E63FE4"/>
    <w:rsid w:val="00E6483E"/>
    <w:rsid w:val="00E67316"/>
    <w:rsid w:val="00E6783A"/>
    <w:rsid w:val="00E714D8"/>
    <w:rsid w:val="00E73D6D"/>
    <w:rsid w:val="00E77C39"/>
    <w:rsid w:val="00E821B1"/>
    <w:rsid w:val="00E82DBB"/>
    <w:rsid w:val="00E83957"/>
    <w:rsid w:val="00E84244"/>
    <w:rsid w:val="00E84A3A"/>
    <w:rsid w:val="00E855CE"/>
    <w:rsid w:val="00E87600"/>
    <w:rsid w:val="00E91803"/>
    <w:rsid w:val="00E9257F"/>
    <w:rsid w:val="00E92D43"/>
    <w:rsid w:val="00E93B2A"/>
    <w:rsid w:val="00E96E82"/>
    <w:rsid w:val="00E971A5"/>
    <w:rsid w:val="00E974BC"/>
    <w:rsid w:val="00E97F65"/>
    <w:rsid w:val="00EA03DC"/>
    <w:rsid w:val="00EA6C90"/>
    <w:rsid w:val="00EB5CBE"/>
    <w:rsid w:val="00EB7086"/>
    <w:rsid w:val="00EB718B"/>
    <w:rsid w:val="00EC1D7C"/>
    <w:rsid w:val="00EC3BD1"/>
    <w:rsid w:val="00EC5419"/>
    <w:rsid w:val="00ED055F"/>
    <w:rsid w:val="00ED1EE6"/>
    <w:rsid w:val="00ED361E"/>
    <w:rsid w:val="00ED43FB"/>
    <w:rsid w:val="00ED79D6"/>
    <w:rsid w:val="00EE1602"/>
    <w:rsid w:val="00EE40DC"/>
    <w:rsid w:val="00EE6784"/>
    <w:rsid w:val="00EE6AAC"/>
    <w:rsid w:val="00EE6D9F"/>
    <w:rsid w:val="00EE7157"/>
    <w:rsid w:val="00EE739D"/>
    <w:rsid w:val="00EE7F8F"/>
    <w:rsid w:val="00EF2DDF"/>
    <w:rsid w:val="00EF7B4A"/>
    <w:rsid w:val="00EF7E92"/>
    <w:rsid w:val="00F00442"/>
    <w:rsid w:val="00F033F3"/>
    <w:rsid w:val="00F0521A"/>
    <w:rsid w:val="00F05AC2"/>
    <w:rsid w:val="00F06738"/>
    <w:rsid w:val="00F10136"/>
    <w:rsid w:val="00F111EB"/>
    <w:rsid w:val="00F146B5"/>
    <w:rsid w:val="00F1510C"/>
    <w:rsid w:val="00F15A62"/>
    <w:rsid w:val="00F22518"/>
    <w:rsid w:val="00F23AF3"/>
    <w:rsid w:val="00F25D7F"/>
    <w:rsid w:val="00F276B2"/>
    <w:rsid w:val="00F348F3"/>
    <w:rsid w:val="00F43ED0"/>
    <w:rsid w:val="00F4497C"/>
    <w:rsid w:val="00F45141"/>
    <w:rsid w:val="00F45CEC"/>
    <w:rsid w:val="00F46EA8"/>
    <w:rsid w:val="00F47080"/>
    <w:rsid w:val="00F51D21"/>
    <w:rsid w:val="00F52738"/>
    <w:rsid w:val="00F52D2C"/>
    <w:rsid w:val="00F5405C"/>
    <w:rsid w:val="00F567F5"/>
    <w:rsid w:val="00F611F1"/>
    <w:rsid w:val="00F636C3"/>
    <w:rsid w:val="00F63830"/>
    <w:rsid w:val="00F64193"/>
    <w:rsid w:val="00F64C45"/>
    <w:rsid w:val="00F64F98"/>
    <w:rsid w:val="00F65568"/>
    <w:rsid w:val="00F7033D"/>
    <w:rsid w:val="00F707F0"/>
    <w:rsid w:val="00F72970"/>
    <w:rsid w:val="00F7440C"/>
    <w:rsid w:val="00F752F8"/>
    <w:rsid w:val="00F77473"/>
    <w:rsid w:val="00F80DDD"/>
    <w:rsid w:val="00F828B0"/>
    <w:rsid w:val="00F86FCB"/>
    <w:rsid w:val="00F91FC2"/>
    <w:rsid w:val="00F92825"/>
    <w:rsid w:val="00F92AEC"/>
    <w:rsid w:val="00FA0E0D"/>
    <w:rsid w:val="00FA1F98"/>
    <w:rsid w:val="00FA257D"/>
    <w:rsid w:val="00FA732A"/>
    <w:rsid w:val="00FA7D4C"/>
    <w:rsid w:val="00FB02B9"/>
    <w:rsid w:val="00FB512E"/>
    <w:rsid w:val="00FB68AB"/>
    <w:rsid w:val="00FB6A16"/>
    <w:rsid w:val="00FB7E48"/>
    <w:rsid w:val="00FC3FB0"/>
    <w:rsid w:val="00FC481C"/>
    <w:rsid w:val="00FC5888"/>
    <w:rsid w:val="00FD0096"/>
    <w:rsid w:val="00FD281D"/>
    <w:rsid w:val="00FD2A73"/>
    <w:rsid w:val="00FD51DA"/>
    <w:rsid w:val="00FD712F"/>
    <w:rsid w:val="00FD7167"/>
    <w:rsid w:val="00FE15D8"/>
    <w:rsid w:val="00FE27C1"/>
    <w:rsid w:val="00FE33EC"/>
    <w:rsid w:val="00FE3E2A"/>
    <w:rsid w:val="00FE55FA"/>
    <w:rsid w:val="00FE5E4E"/>
    <w:rsid w:val="00FE5EB0"/>
    <w:rsid w:val="00FE7283"/>
    <w:rsid w:val="00FE798D"/>
    <w:rsid w:val="00FF065A"/>
    <w:rsid w:val="00FF30A3"/>
    <w:rsid w:val="00FF437E"/>
    <w:rsid w:val="00FF53E7"/>
    <w:rsid w:val="00FF580E"/>
    <w:rsid w:val="00FF58CF"/>
    <w:rsid w:val="00FF7368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92E7F"/>
  <w15:docId w15:val="{DE31E5C3-883A-4E83-B66D-1F156562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A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765D"/>
    <w:pPr>
      <w:keepNext/>
      <w:keepLines/>
      <w:pBdr>
        <w:bottom w:val="single" w:sz="4" w:space="1" w:color="365F91" w:themeColor="accent1" w:themeShade="BF"/>
      </w:pBdr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4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879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67"/>
  </w:style>
  <w:style w:type="paragraph" w:styleId="Footer">
    <w:name w:val="footer"/>
    <w:basedOn w:val="Normal"/>
    <w:link w:val="FooterChar"/>
    <w:uiPriority w:val="99"/>
    <w:unhideWhenUsed/>
    <w:rsid w:val="0097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067"/>
  </w:style>
  <w:style w:type="table" w:styleId="TableGrid">
    <w:name w:val="Table Grid"/>
    <w:basedOn w:val="TableNormal"/>
    <w:uiPriority w:val="59"/>
    <w:rsid w:val="00E6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OFM"/>
    <w:basedOn w:val="Normal"/>
    <w:link w:val="ListParagraphChar"/>
    <w:uiPriority w:val="99"/>
    <w:qFormat/>
    <w:rsid w:val="000550C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A66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66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BB5"/>
    <w:pPr>
      <w:numPr>
        <w:ilvl w:val="1"/>
      </w:numPr>
    </w:pPr>
    <w:rPr>
      <w:rFonts w:ascii="Times New Roman" w:eastAsiaTheme="majorEastAsia" w:hAnsi="Times New Roman" w:cstheme="majorBidi"/>
      <w:b/>
      <w:i/>
      <w:iCs/>
      <w:spacing w:val="15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DD7BB5"/>
    <w:rPr>
      <w:rFonts w:ascii="Times New Roman" w:eastAsiaTheme="majorEastAsia" w:hAnsi="Times New Roman" w:cstheme="majorBidi"/>
      <w:b/>
      <w:i/>
      <w:iCs/>
      <w:spacing w:val="15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765D"/>
    <w:rPr>
      <w:rFonts w:ascii="Times New Roman" w:eastAsiaTheme="majorEastAsia" w:hAnsi="Times New Roman" w:cstheme="majorBidi"/>
      <w:b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A042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A042F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67BCA"/>
    <w:pPr>
      <w:tabs>
        <w:tab w:val="right" w:leader="dot" w:pos="9062"/>
      </w:tabs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A042F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A042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A042F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7A04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0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B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A69EF"/>
    <w:pPr>
      <w:spacing w:after="100"/>
      <w:ind w:left="1320"/>
    </w:pPr>
  </w:style>
  <w:style w:type="paragraph" w:customStyle="1" w:styleId="Grafovi">
    <w:name w:val="Grafovi"/>
    <w:basedOn w:val="Normal"/>
    <w:link w:val="GrafoviChar"/>
    <w:qFormat/>
    <w:rsid w:val="00432058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ele">
    <w:name w:val="Tabele"/>
    <w:basedOn w:val="Normal"/>
    <w:link w:val="TabeleChar"/>
    <w:qFormat/>
    <w:rsid w:val="00432058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GrafoviChar">
    <w:name w:val="Grafovi Char"/>
    <w:basedOn w:val="DefaultParagraphFont"/>
    <w:link w:val="Grafovi"/>
    <w:rsid w:val="00432058"/>
    <w:rPr>
      <w:rFonts w:ascii="Times New Roman" w:hAnsi="Times New Roman" w:cs="Times New Roman"/>
      <w:sz w:val="24"/>
      <w:szCs w:val="24"/>
    </w:rPr>
  </w:style>
  <w:style w:type="character" w:customStyle="1" w:styleId="TabeleChar">
    <w:name w:val="Tabele Char"/>
    <w:basedOn w:val="DefaultParagraphFont"/>
    <w:link w:val="Tabele"/>
    <w:rsid w:val="0043205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E2"/>
    <w:rPr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rsid w:val="00930BAE"/>
    <w:rPr>
      <w:b/>
      <w:bCs/>
    </w:rPr>
  </w:style>
  <w:style w:type="character" w:customStyle="1" w:styleId="ListParagraphChar">
    <w:name w:val="List Paragraph Char"/>
    <w:aliases w:val="Bullet OFM Char"/>
    <w:link w:val="ListParagraph"/>
    <w:uiPriority w:val="99"/>
    <w:rsid w:val="00B8453D"/>
  </w:style>
  <w:style w:type="table" w:customStyle="1" w:styleId="TableGrid1">
    <w:name w:val="Table Grid1"/>
    <w:basedOn w:val="TableNormal"/>
    <w:next w:val="TableGrid"/>
    <w:uiPriority w:val="59"/>
    <w:rsid w:val="008079D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7DAEF-E7EA-4112-B232-85AB6FC4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16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Banja Luka, juli</Company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 Sirbubalo</dc:creator>
  <cp:lastModifiedBy>Boris Fatkić</cp:lastModifiedBy>
  <cp:revision>42</cp:revision>
  <cp:lastPrinted>2017-12-15T08:17:00Z</cp:lastPrinted>
  <dcterms:created xsi:type="dcterms:W3CDTF">2018-08-02T08:28:00Z</dcterms:created>
  <dcterms:modified xsi:type="dcterms:W3CDTF">2018-08-06T06:42:00Z</dcterms:modified>
</cp:coreProperties>
</file>