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629" w:rsidRDefault="009A6629">
      <w:pPr>
        <w:rPr>
          <w:sz w:val="28"/>
          <w:szCs w:val="28"/>
        </w:rPr>
      </w:pPr>
    </w:p>
    <w:p w:rsidR="007A042F" w:rsidRDefault="007A042F">
      <w:pPr>
        <w:rPr>
          <w:sz w:val="28"/>
          <w:szCs w:val="28"/>
        </w:rPr>
      </w:pPr>
    </w:p>
    <w:p w:rsidR="007A042F" w:rsidRDefault="00772C4E" w:rsidP="00772C4E">
      <w:pPr>
        <w:jc w:val="right"/>
        <w:rPr>
          <w:sz w:val="28"/>
          <w:szCs w:val="28"/>
        </w:rPr>
      </w:pPr>
      <w:r>
        <w:rPr>
          <w:sz w:val="28"/>
          <w:szCs w:val="28"/>
        </w:rPr>
        <w:t>NACRT</w:t>
      </w:r>
    </w:p>
    <w:p w:rsidR="007A042F" w:rsidRDefault="007A042F">
      <w:pPr>
        <w:rPr>
          <w:sz w:val="28"/>
          <w:szCs w:val="28"/>
        </w:rPr>
      </w:pPr>
    </w:p>
    <w:p w:rsidR="0022181F" w:rsidRDefault="0022181F">
      <w:pPr>
        <w:rPr>
          <w:sz w:val="28"/>
          <w:szCs w:val="28"/>
        </w:rPr>
      </w:pPr>
    </w:p>
    <w:p w:rsidR="003173EE" w:rsidRPr="003173EE" w:rsidRDefault="003173EE" w:rsidP="003173E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45"/>
      </w:tblGrid>
      <w:tr w:rsidR="003173EE" w:rsidRPr="003173EE">
        <w:trPr>
          <w:trHeight w:val="651"/>
        </w:trPr>
        <w:tc>
          <w:tcPr>
            <w:tcW w:w="9045" w:type="dxa"/>
          </w:tcPr>
          <w:p w:rsidR="003173EE" w:rsidRPr="003173EE" w:rsidRDefault="003173EE" w:rsidP="00317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60"/>
                <w:szCs w:val="6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3173EE">
              <w:rPr>
                <w:rFonts w:ascii="Times New Roman" w:hAnsi="Times New Roman" w:cs="Times New Roman"/>
                <w:color w:val="4F81BD" w:themeColor="accent1"/>
                <w:sz w:val="60"/>
                <w:szCs w:val="6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Srednjoročni</w:t>
            </w:r>
            <w:proofErr w:type="spellEnd"/>
            <w:r w:rsidRPr="003173EE">
              <w:rPr>
                <w:rFonts w:ascii="Times New Roman" w:hAnsi="Times New Roman" w:cs="Times New Roman"/>
                <w:color w:val="4F81BD" w:themeColor="accent1"/>
                <w:sz w:val="60"/>
                <w:szCs w:val="6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plan </w:t>
            </w:r>
            <w:proofErr w:type="spellStart"/>
            <w:r w:rsidRPr="003173EE">
              <w:rPr>
                <w:rFonts w:ascii="Times New Roman" w:hAnsi="Times New Roman" w:cs="Times New Roman"/>
                <w:color w:val="4F81BD" w:themeColor="accent1"/>
                <w:sz w:val="60"/>
                <w:szCs w:val="6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rada</w:t>
            </w:r>
            <w:proofErr w:type="spellEnd"/>
            <w:r w:rsidRPr="003173EE">
              <w:rPr>
                <w:rFonts w:ascii="Times New Roman" w:hAnsi="Times New Roman" w:cs="Times New Roman"/>
                <w:color w:val="4F81BD" w:themeColor="accent1"/>
                <w:sz w:val="60"/>
                <w:szCs w:val="6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3173EE" w:rsidRPr="003173EE" w:rsidRDefault="003173EE" w:rsidP="00317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60"/>
                <w:szCs w:val="6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3173EE">
              <w:rPr>
                <w:rFonts w:ascii="Times New Roman" w:hAnsi="Times New Roman" w:cs="Times New Roman"/>
                <w:color w:val="4F81BD" w:themeColor="accent1"/>
                <w:sz w:val="60"/>
                <w:szCs w:val="6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Agencije</w:t>
            </w:r>
            <w:proofErr w:type="spellEnd"/>
            <w:r w:rsidRPr="003173EE">
              <w:rPr>
                <w:rFonts w:ascii="Times New Roman" w:hAnsi="Times New Roman" w:cs="Times New Roman"/>
                <w:color w:val="4F81BD" w:themeColor="accent1"/>
                <w:sz w:val="60"/>
                <w:szCs w:val="6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3173EE">
              <w:rPr>
                <w:rFonts w:ascii="Times New Roman" w:hAnsi="Times New Roman" w:cs="Times New Roman"/>
                <w:color w:val="4F81BD" w:themeColor="accent1"/>
                <w:sz w:val="60"/>
                <w:szCs w:val="6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za</w:t>
            </w:r>
            <w:proofErr w:type="spellEnd"/>
            <w:r w:rsidRPr="003173EE">
              <w:rPr>
                <w:rFonts w:ascii="Times New Roman" w:hAnsi="Times New Roman" w:cs="Times New Roman"/>
                <w:color w:val="4F81BD" w:themeColor="accent1"/>
                <w:sz w:val="60"/>
                <w:szCs w:val="6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3173EE">
              <w:rPr>
                <w:rFonts w:ascii="Times New Roman" w:hAnsi="Times New Roman" w:cs="Times New Roman"/>
                <w:color w:val="4F81BD" w:themeColor="accent1"/>
                <w:sz w:val="60"/>
                <w:szCs w:val="6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javne</w:t>
            </w:r>
            <w:proofErr w:type="spellEnd"/>
            <w:r w:rsidRPr="003173EE">
              <w:rPr>
                <w:rFonts w:ascii="Times New Roman" w:hAnsi="Times New Roman" w:cs="Times New Roman"/>
                <w:color w:val="4F81BD" w:themeColor="accent1"/>
                <w:sz w:val="60"/>
                <w:szCs w:val="6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3173EE">
              <w:rPr>
                <w:rFonts w:ascii="Times New Roman" w:hAnsi="Times New Roman" w:cs="Times New Roman"/>
                <w:color w:val="4F81BD" w:themeColor="accent1"/>
                <w:sz w:val="60"/>
                <w:szCs w:val="6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nabavke</w:t>
            </w:r>
            <w:proofErr w:type="spellEnd"/>
          </w:p>
        </w:tc>
      </w:tr>
      <w:tr w:rsidR="003173EE" w:rsidRPr="003173EE">
        <w:trPr>
          <w:trHeight w:val="219"/>
        </w:trPr>
        <w:tc>
          <w:tcPr>
            <w:tcW w:w="9045" w:type="dxa"/>
          </w:tcPr>
          <w:p w:rsidR="003173EE" w:rsidRPr="003173EE" w:rsidRDefault="003173EE" w:rsidP="00317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4F81BD" w:themeColor="accent1"/>
                <w:sz w:val="44"/>
                <w:szCs w:val="44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73EE">
              <w:rPr>
                <w:rFonts w:ascii="Times New Roman" w:hAnsi="Times New Roman" w:cs="Times New Roman"/>
                <w:iCs/>
                <w:color w:val="4F81BD" w:themeColor="accent1"/>
                <w:sz w:val="60"/>
                <w:szCs w:val="6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</w:t>
            </w:r>
            <w:r w:rsidR="00FB7E48">
              <w:rPr>
                <w:rFonts w:ascii="Times New Roman" w:hAnsi="Times New Roman" w:cs="Times New Roman"/>
                <w:iCs/>
                <w:color w:val="4F81BD" w:themeColor="accent1"/>
                <w:sz w:val="60"/>
                <w:szCs w:val="6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Pr="003173EE">
              <w:rPr>
                <w:rFonts w:ascii="Times New Roman" w:hAnsi="Times New Roman" w:cs="Times New Roman"/>
                <w:iCs/>
                <w:color w:val="4F81BD" w:themeColor="accent1"/>
                <w:sz w:val="60"/>
                <w:szCs w:val="6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.-201</w:t>
            </w:r>
            <w:r w:rsidR="00FB7E48">
              <w:rPr>
                <w:rFonts w:ascii="Times New Roman" w:hAnsi="Times New Roman" w:cs="Times New Roman"/>
                <w:iCs/>
                <w:color w:val="4F81BD" w:themeColor="accent1"/>
                <w:sz w:val="60"/>
                <w:szCs w:val="6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Pr="003173EE">
              <w:rPr>
                <w:rFonts w:ascii="Times New Roman" w:hAnsi="Times New Roman" w:cs="Times New Roman"/>
                <w:i/>
                <w:iCs/>
                <w:color w:val="4F81BD" w:themeColor="accent1"/>
                <w:sz w:val="44"/>
                <w:szCs w:val="44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3173EE" w:rsidRPr="003173EE" w:rsidRDefault="003173EE" w:rsidP="00317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44"/>
                <w:szCs w:val="44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173EE" w:rsidRPr="003173EE">
        <w:trPr>
          <w:trHeight w:val="300"/>
        </w:trPr>
        <w:tc>
          <w:tcPr>
            <w:tcW w:w="9045" w:type="dxa"/>
          </w:tcPr>
          <w:p w:rsidR="003173EE" w:rsidRPr="003173EE" w:rsidRDefault="003173EE" w:rsidP="00317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Dokument</w:t>
            </w:r>
            <w:proofErr w:type="spellEnd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pripremljen</w:t>
            </w:r>
            <w:proofErr w:type="spellEnd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skladu</w:t>
            </w:r>
            <w:proofErr w:type="spellEnd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Odlukom</w:t>
            </w:r>
            <w:proofErr w:type="spellEnd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postupku</w:t>
            </w:r>
            <w:proofErr w:type="spellEnd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srednjoročnog</w:t>
            </w:r>
            <w:proofErr w:type="spellEnd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planiranja</w:t>
            </w:r>
            <w:proofErr w:type="spellEnd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praćenja</w:t>
            </w:r>
            <w:proofErr w:type="spellEnd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izvještavanja</w:t>
            </w:r>
            <w:proofErr w:type="spellEnd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institučijama</w:t>
            </w:r>
            <w:proofErr w:type="spellEnd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BiH</w:t>
            </w:r>
            <w:proofErr w:type="spellEnd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(“</w:t>
            </w:r>
            <w:proofErr w:type="spellStart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Službeni</w:t>
            </w:r>
            <w:proofErr w:type="spellEnd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glasnik</w:t>
            </w:r>
            <w:proofErr w:type="spellEnd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BiH</w:t>
            </w:r>
            <w:proofErr w:type="spellEnd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”, </w:t>
            </w:r>
            <w:proofErr w:type="spellStart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broj</w:t>
            </w:r>
            <w:proofErr w:type="spellEnd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62/14) </w:t>
            </w:r>
            <w:proofErr w:type="spellStart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Uputstvom</w:t>
            </w:r>
            <w:proofErr w:type="spellEnd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metodologiji</w:t>
            </w:r>
            <w:proofErr w:type="spellEnd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postupku</w:t>
            </w:r>
            <w:proofErr w:type="spellEnd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srednjoročnog</w:t>
            </w:r>
            <w:proofErr w:type="spellEnd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planiranja</w:t>
            </w:r>
            <w:proofErr w:type="spellEnd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praćenja</w:t>
            </w:r>
            <w:proofErr w:type="spellEnd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izvještavanja</w:t>
            </w:r>
            <w:proofErr w:type="spellEnd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institučijama</w:t>
            </w:r>
            <w:proofErr w:type="spellEnd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BiH</w:t>
            </w:r>
            <w:proofErr w:type="spellEnd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(“</w:t>
            </w:r>
            <w:proofErr w:type="spellStart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Službeni</w:t>
            </w:r>
            <w:proofErr w:type="spellEnd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glasnik</w:t>
            </w:r>
            <w:proofErr w:type="spellEnd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BiH</w:t>
            </w:r>
            <w:proofErr w:type="spellEnd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”, </w:t>
            </w:r>
            <w:proofErr w:type="spellStart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broj</w:t>
            </w:r>
            <w:proofErr w:type="spellEnd"/>
            <w:r w:rsidRPr="00317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44/15) </w:t>
            </w:r>
          </w:p>
        </w:tc>
      </w:tr>
    </w:tbl>
    <w:p w:rsidR="007A042F" w:rsidRDefault="007A042F">
      <w:pPr>
        <w:rPr>
          <w:sz w:val="28"/>
          <w:szCs w:val="28"/>
        </w:rPr>
      </w:pPr>
    </w:p>
    <w:p w:rsidR="007A042F" w:rsidRDefault="007A042F">
      <w:pPr>
        <w:rPr>
          <w:sz w:val="28"/>
          <w:szCs w:val="28"/>
        </w:rPr>
      </w:pPr>
    </w:p>
    <w:p w:rsidR="007A042F" w:rsidRDefault="007A042F">
      <w:pPr>
        <w:rPr>
          <w:sz w:val="28"/>
          <w:szCs w:val="28"/>
        </w:rPr>
      </w:pPr>
    </w:p>
    <w:p w:rsidR="007A042F" w:rsidRDefault="007A042F">
      <w:pPr>
        <w:rPr>
          <w:sz w:val="28"/>
          <w:szCs w:val="28"/>
        </w:rPr>
      </w:pPr>
    </w:p>
    <w:p w:rsidR="007A042F" w:rsidRDefault="00BC140A" w:rsidP="00BC140A">
      <w:pPr>
        <w:tabs>
          <w:tab w:val="left" w:pos="68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A042F" w:rsidRDefault="007A042F">
      <w:pPr>
        <w:rPr>
          <w:sz w:val="28"/>
          <w:szCs w:val="28"/>
        </w:rPr>
      </w:pPr>
    </w:p>
    <w:p w:rsidR="007A042F" w:rsidRDefault="007A042F">
      <w:pPr>
        <w:rPr>
          <w:sz w:val="28"/>
          <w:szCs w:val="28"/>
        </w:rPr>
      </w:pPr>
    </w:p>
    <w:p w:rsidR="007A042F" w:rsidRDefault="007A042F">
      <w:pPr>
        <w:rPr>
          <w:sz w:val="28"/>
          <w:szCs w:val="28"/>
        </w:rPr>
      </w:pPr>
    </w:p>
    <w:p w:rsidR="007A042F" w:rsidRDefault="007A042F">
      <w:pPr>
        <w:rPr>
          <w:sz w:val="28"/>
          <w:szCs w:val="28"/>
        </w:rPr>
      </w:pPr>
    </w:p>
    <w:p w:rsidR="007A042F" w:rsidRDefault="007A042F">
      <w:pPr>
        <w:rPr>
          <w:sz w:val="28"/>
          <w:szCs w:val="28"/>
        </w:rPr>
      </w:pPr>
    </w:p>
    <w:p w:rsidR="00363A51" w:rsidRPr="008D1BB6" w:rsidRDefault="00363A51" w:rsidP="00DC72FB">
      <w:pPr>
        <w:pStyle w:val="Heading1"/>
      </w:pPr>
      <w:bookmarkStart w:id="0" w:name="_Toc438565161"/>
      <w:bookmarkStart w:id="1" w:name="_Toc420486149"/>
      <w:r w:rsidRPr="00363A51">
        <w:lastRenderedPageBreak/>
        <w:t>SADRŽAJ</w:t>
      </w:r>
      <w:bookmarkEnd w:id="0"/>
      <w:r w:rsidRPr="008D1BB6">
        <w:t xml:space="preserve"> </w:t>
      </w:r>
    </w:p>
    <w:bookmarkEnd w:id="1" w:displacedByCustomXml="next"/>
    <w:sdt>
      <w:sdtPr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bs-Latn-BA"/>
        </w:rPr>
        <w:id w:val="210445661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C35213" w:rsidRPr="00363A51" w:rsidRDefault="00C35213" w:rsidP="00DC72FB">
          <w:pPr>
            <w:pStyle w:val="TOCHeading"/>
          </w:pPr>
        </w:p>
        <w:p w:rsidR="009D4DFB" w:rsidRDefault="00C35213">
          <w:pPr>
            <w:pStyle w:val="TOC1"/>
            <w:rPr>
              <w:noProof/>
              <w:lang w:eastAsia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8565161" w:history="1">
            <w:r w:rsidR="009D4DFB" w:rsidRPr="00AF1B2B">
              <w:rPr>
                <w:rStyle w:val="Hyperlink"/>
                <w:noProof/>
              </w:rPr>
              <w:t>SADRŽAJ</w:t>
            </w:r>
            <w:r w:rsidR="009D4DFB">
              <w:rPr>
                <w:noProof/>
                <w:webHidden/>
              </w:rPr>
              <w:tab/>
            </w:r>
            <w:r w:rsidR="009D4DFB">
              <w:rPr>
                <w:noProof/>
                <w:webHidden/>
              </w:rPr>
              <w:fldChar w:fldCharType="begin"/>
            </w:r>
            <w:r w:rsidR="009D4DFB">
              <w:rPr>
                <w:noProof/>
                <w:webHidden/>
              </w:rPr>
              <w:instrText xml:space="preserve"> PAGEREF _Toc438565161 \h </w:instrText>
            </w:r>
            <w:r w:rsidR="009D4DFB">
              <w:rPr>
                <w:noProof/>
                <w:webHidden/>
              </w:rPr>
            </w:r>
            <w:r w:rsidR="009D4DFB">
              <w:rPr>
                <w:noProof/>
                <w:webHidden/>
              </w:rPr>
              <w:fldChar w:fldCharType="separate"/>
            </w:r>
            <w:r w:rsidR="00772C4E">
              <w:rPr>
                <w:noProof/>
                <w:webHidden/>
              </w:rPr>
              <w:t>1</w:t>
            </w:r>
            <w:r w:rsidR="009D4DFB">
              <w:rPr>
                <w:noProof/>
                <w:webHidden/>
              </w:rPr>
              <w:fldChar w:fldCharType="end"/>
            </w:r>
          </w:hyperlink>
        </w:p>
        <w:p w:rsidR="009D4DFB" w:rsidRDefault="00CF084C">
          <w:pPr>
            <w:pStyle w:val="TOC1"/>
            <w:rPr>
              <w:noProof/>
              <w:lang w:eastAsia="en-US"/>
            </w:rPr>
          </w:pPr>
          <w:hyperlink w:anchor="_Toc438565162" w:history="1">
            <w:r w:rsidR="009D4DFB" w:rsidRPr="00AF1B2B">
              <w:rPr>
                <w:rStyle w:val="Hyperlink"/>
                <w:noProof/>
              </w:rPr>
              <w:t>Poglavlje 1: Strateški okvir</w:t>
            </w:r>
            <w:r w:rsidR="009D4DFB">
              <w:rPr>
                <w:noProof/>
                <w:webHidden/>
              </w:rPr>
              <w:tab/>
            </w:r>
            <w:r w:rsidR="009D4DFB">
              <w:rPr>
                <w:noProof/>
                <w:webHidden/>
              </w:rPr>
              <w:fldChar w:fldCharType="begin"/>
            </w:r>
            <w:r w:rsidR="009D4DFB">
              <w:rPr>
                <w:noProof/>
                <w:webHidden/>
              </w:rPr>
              <w:instrText xml:space="preserve"> PAGEREF _Toc438565162 \h </w:instrText>
            </w:r>
            <w:r w:rsidR="009D4DFB">
              <w:rPr>
                <w:noProof/>
                <w:webHidden/>
              </w:rPr>
            </w:r>
            <w:r w:rsidR="009D4DFB">
              <w:rPr>
                <w:noProof/>
                <w:webHidden/>
              </w:rPr>
              <w:fldChar w:fldCharType="separate"/>
            </w:r>
            <w:r w:rsidR="00772C4E">
              <w:rPr>
                <w:noProof/>
                <w:webHidden/>
              </w:rPr>
              <w:t>2</w:t>
            </w:r>
            <w:r w:rsidR="009D4DFB">
              <w:rPr>
                <w:noProof/>
                <w:webHidden/>
              </w:rPr>
              <w:fldChar w:fldCharType="end"/>
            </w:r>
          </w:hyperlink>
        </w:p>
        <w:p w:rsidR="009D4DFB" w:rsidRDefault="00CF084C">
          <w:pPr>
            <w:pStyle w:val="TOC2"/>
            <w:tabs>
              <w:tab w:val="right" w:leader="dot" w:pos="9062"/>
            </w:tabs>
            <w:rPr>
              <w:noProof/>
              <w:lang w:eastAsia="en-US"/>
            </w:rPr>
          </w:pPr>
          <w:hyperlink w:anchor="_Toc438565163" w:history="1">
            <w:r w:rsidR="009D4DFB" w:rsidRPr="00AF1B2B">
              <w:rPr>
                <w:rStyle w:val="Hyperlink"/>
                <w:rFonts w:ascii="Times New Roman" w:hAnsi="Times New Roman" w:cs="Times New Roman"/>
                <w:noProof/>
                <w:color w:val="0000BF" w:themeColor="hyperlink" w:themeShade="BF"/>
              </w:rPr>
              <w:t>1.2. Mandat institucije</w:t>
            </w:r>
            <w:r w:rsidR="009D4DFB">
              <w:rPr>
                <w:noProof/>
                <w:webHidden/>
              </w:rPr>
              <w:tab/>
            </w:r>
            <w:r w:rsidR="009D4DFB">
              <w:rPr>
                <w:noProof/>
                <w:webHidden/>
              </w:rPr>
              <w:fldChar w:fldCharType="begin"/>
            </w:r>
            <w:r w:rsidR="009D4DFB">
              <w:rPr>
                <w:noProof/>
                <w:webHidden/>
              </w:rPr>
              <w:instrText xml:space="preserve"> PAGEREF _Toc438565163 \h </w:instrText>
            </w:r>
            <w:r w:rsidR="009D4DFB">
              <w:rPr>
                <w:noProof/>
                <w:webHidden/>
              </w:rPr>
            </w:r>
            <w:r w:rsidR="009D4DFB">
              <w:rPr>
                <w:noProof/>
                <w:webHidden/>
              </w:rPr>
              <w:fldChar w:fldCharType="separate"/>
            </w:r>
            <w:r w:rsidR="00772C4E">
              <w:rPr>
                <w:noProof/>
                <w:webHidden/>
              </w:rPr>
              <w:t>2</w:t>
            </w:r>
            <w:r w:rsidR="009D4DFB">
              <w:rPr>
                <w:noProof/>
                <w:webHidden/>
              </w:rPr>
              <w:fldChar w:fldCharType="end"/>
            </w:r>
          </w:hyperlink>
        </w:p>
        <w:p w:rsidR="009D4DFB" w:rsidRDefault="00CF084C">
          <w:pPr>
            <w:pStyle w:val="TOC1"/>
            <w:rPr>
              <w:noProof/>
              <w:lang w:eastAsia="en-US"/>
            </w:rPr>
          </w:pPr>
          <w:hyperlink w:anchor="_Toc438565164" w:history="1">
            <w:r w:rsidR="009D4DFB" w:rsidRPr="00AF1B2B">
              <w:rPr>
                <w:rStyle w:val="Hyperlink"/>
                <w:noProof/>
              </w:rPr>
              <w:t>Poglavlje 2: Vizija i misija</w:t>
            </w:r>
            <w:r w:rsidR="009D4DFB">
              <w:rPr>
                <w:noProof/>
                <w:webHidden/>
              </w:rPr>
              <w:tab/>
            </w:r>
            <w:r w:rsidR="009D4DFB">
              <w:rPr>
                <w:noProof/>
                <w:webHidden/>
              </w:rPr>
              <w:fldChar w:fldCharType="begin"/>
            </w:r>
            <w:r w:rsidR="009D4DFB">
              <w:rPr>
                <w:noProof/>
                <w:webHidden/>
              </w:rPr>
              <w:instrText xml:space="preserve"> PAGEREF _Toc438565164 \h </w:instrText>
            </w:r>
            <w:r w:rsidR="009D4DFB">
              <w:rPr>
                <w:noProof/>
                <w:webHidden/>
              </w:rPr>
            </w:r>
            <w:r w:rsidR="009D4DFB">
              <w:rPr>
                <w:noProof/>
                <w:webHidden/>
              </w:rPr>
              <w:fldChar w:fldCharType="separate"/>
            </w:r>
            <w:r w:rsidR="00772C4E">
              <w:rPr>
                <w:noProof/>
                <w:webHidden/>
              </w:rPr>
              <w:t>3</w:t>
            </w:r>
            <w:r w:rsidR="009D4DFB">
              <w:rPr>
                <w:noProof/>
                <w:webHidden/>
              </w:rPr>
              <w:fldChar w:fldCharType="end"/>
            </w:r>
          </w:hyperlink>
        </w:p>
        <w:p w:rsidR="009D4DFB" w:rsidRDefault="00CF084C">
          <w:pPr>
            <w:pStyle w:val="TOC2"/>
            <w:tabs>
              <w:tab w:val="right" w:leader="dot" w:pos="9062"/>
            </w:tabs>
            <w:rPr>
              <w:noProof/>
              <w:lang w:eastAsia="en-US"/>
            </w:rPr>
          </w:pPr>
          <w:hyperlink w:anchor="_Toc438565165" w:history="1">
            <w:r w:rsidR="009D4DFB" w:rsidRPr="00AF1B2B">
              <w:rPr>
                <w:rStyle w:val="Hyperlink"/>
                <w:rFonts w:ascii="Times New Roman" w:hAnsi="Times New Roman" w:cs="Times New Roman"/>
                <w:noProof/>
                <w:color w:val="0000BF" w:themeColor="hyperlink" w:themeShade="BF"/>
              </w:rPr>
              <w:t>2.1. Vizija</w:t>
            </w:r>
            <w:r w:rsidR="009D4DFB">
              <w:rPr>
                <w:noProof/>
                <w:webHidden/>
              </w:rPr>
              <w:tab/>
            </w:r>
            <w:r w:rsidR="009D4DFB">
              <w:rPr>
                <w:noProof/>
                <w:webHidden/>
              </w:rPr>
              <w:fldChar w:fldCharType="begin"/>
            </w:r>
            <w:r w:rsidR="009D4DFB">
              <w:rPr>
                <w:noProof/>
                <w:webHidden/>
              </w:rPr>
              <w:instrText xml:space="preserve"> PAGEREF _Toc438565165 \h </w:instrText>
            </w:r>
            <w:r w:rsidR="009D4DFB">
              <w:rPr>
                <w:noProof/>
                <w:webHidden/>
              </w:rPr>
            </w:r>
            <w:r w:rsidR="009D4DFB">
              <w:rPr>
                <w:noProof/>
                <w:webHidden/>
              </w:rPr>
              <w:fldChar w:fldCharType="separate"/>
            </w:r>
            <w:r w:rsidR="00772C4E">
              <w:rPr>
                <w:noProof/>
                <w:webHidden/>
              </w:rPr>
              <w:t>3</w:t>
            </w:r>
            <w:r w:rsidR="009D4DFB">
              <w:rPr>
                <w:noProof/>
                <w:webHidden/>
              </w:rPr>
              <w:fldChar w:fldCharType="end"/>
            </w:r>
          </w:hyperlink>
        </w:p>
        <w:p w:rsidR="009D4DFB" w:rsidRDefault="00CF084C">
          <w:pPr>
            <w:pStyle w:val="TOC2"/>
            <w:tabs>
              <w:tab w:val="right" w:leader="dot" w:pos="9062"/>
            </w:tabs>
            <w:rPr>
              <w:noProof/>
              <w:lang w:eastAsia="en-US"/>
            </w:rPr>
          </w:pPr>
          <w:hyperlink w:anchor="_Toc438565166" w:history="1">
            <w:r w:rsidR="009D4DFB" w:rsidRPr="00AF1B2B">
              <w:rPr>
                <w:rStyle w:val="Hyperlink"/>
                <w:rFonts w:ascii="Times New Roman" w:hAnsi="Times New Roman" w:cs="Times New Roman"/>
                <w:noProof/>
                <w:color w:val="0000BF" w:themeColor="hyperlink" w:themeShade="BF"/>
              </w:rPr>
              <w:t>2.2. Misija</w:t>
            </w:r>
            <w:r w:rsidR="009D4DFB">
              <w:rPr>
                <w:noProof/>
                <w:webHidden/>
              </w:rPr>
              <w:tab/>
            </w:r>
            <w:r w:rsidR="009D4DFB">
              <w:rPr>
                <w:noProof/>
                <w:webHidden/>
              </w:rPr>
              <w:fldChar w:fldCharType="begin"/>
            </w:r>
            <w:r w:rsidR="009D4DFB">
              <w:rPr>
                <w:noProof/>
                <w:webHidden/>
              </w:rPr>
              <w:instrText xml:space="preserve"> PAGEREF _Toc438565166 \h </w:instrText>
            </w:r>
            <w:r w:rsidR="009D4DFB">
              <w:rPr>
                <w:noProof/>
                <w:webHidden/>
              </w:rPr>
            </w:r>
            <w:r w:rsidR="009D4DFB">
              <w:rPr>
                <w:noProof/>
                <w:webHidden/>
              </w:rPr>
              <w:fldChar w:fldCharType="separate"/>
            </w:r>
            <w:r w:rsidR="00772C4E">
              <w:rPr>
                <w:noProof/>
                <w:webHidden/>
              </w:rPr>
              <w:t>3</w:t>
            </w:r>
            <w:r w:rsidR="009D4DFB">
              <w:rPr>
                <w:noProof/>
                <w:webHidden/>
              </w:rPr>
              <w:fldChar w:fldCharType="end"/>
            </w:r>
          </w:hyperlink>
        </w:p>
        <w:p w:rsidR="009D4DFB" w:rsidRDefault="00CF084C">
          <w:pPr>
            <w:pStyle w:val="TOC1"/>
            <w:rPr>
              <w:noProof/>
              <w:lang w:eastAsia="en-US"/>
            </w:rPr>
          </w:pPr>
          <w:hyperlink w:anchor="_Toc438565167" w:history="1">
            <w:r w:rsidR="009D4DFB" w:rsidRPr="00AF1B2B">
              <w:rPr>
                <w:rStyle w:val="Hyperlink"/>
                <w:noProof/>
              </w:rPr>
              <w:t>Poglavlje 3: Učesnici i partneri</w:t>
            </w:r>
            <w:r w:rsidR="009D4DFB">
              <w:rPr>
                <w:noProof/>
                <w:webHidden/>
              </w:rPr>
              <w:tab/>
            </w:r>
            <w:r w:rsidR="009D4DFB">
              <w:rPr>
                <w:noProof/>
                <w:webHidden/>
              </w:rPr>
              <w:fldChar w:fldCharType="begin"/>
            </w:r>
            <w:r w:rsidR="009D4DFB">
              <w:rPr>
                <w:noProof/>
                <w:webHidden/>
              </w:rPr>
              <w:instrText xml:space="preserve"> PAGEREF _Toc438565167 \h </w:instrText>
            </w:r>
            <w:r w:rsidR="009D4DFB">
              <w:rPr>
                <w:noProof/>
                <w:webHidden/>
              </w:rPr>
            </w:r>
            <w:r w:rsidR="009D4DFB">
              <w:rPr>
                <w:noProof/>
                <w:webHidden/>
              </w:rPr>
              <w:fldChar w:fldCharType="separate"/>
            </w:r>
            <w:r w:rsidR="00772C4E">
              <w:rPr>
                <w:noProof/>
                <w:webHidden/>
              </w:rPr>
              <w:t>3</w:t>
            </w:r>
            <w:r w:rsidR="009D4DFB">
              <w:rPr>
                <w:noProof/>
                <w:webHidden/>
              </w:rPr>
              <w:fldChar w:fldCharType="end"/>
            </w:r>
          </w:hyperlink>
        </w:p>
        <w:p w:rsidR="009D4DFB" w:rsidRDefault="00CF084C">
          <w:pPr>
            <w:pStyle w:val="TOC1"/>
            <w:rPr>
              <w:noProof/>
              <w:lang w:eastAsia="en-US"/>
            </w:rPr>
          </w:pPr>
          <w:hyperlink w:anchor="_Toc438565168" w:history="1">
            <w:r w:rsidR="009D4DFB" w:rsidRPr="00AF1B2B">
              <w:rPr>
                <w:rStyle w:val="Hyperlink"/>
                <w:noProof/>
              </w:rPr>
              <w:t>Poglavlje 4: Osnovna programska opredjeljenja</w:t>
            </w:r>
            <w:r w:rsidR="009D4DFB">
              <w:rPr>
                <w:noProof/>
                <w:webHidden/>
              </w:rPr>
              <w:tab/>
            </w:r>
            <w:r w:rsidR="009D4DFB">
              <w:rPr>
                <w:noProof/>
                <w:webHidden/>
              </w:rPr>
              <w:fldChar w:fldCharType="begin"/>
            </w:r>
            <w:r w:rsidR="009D4DFB">
              <w:rPr>
                <w:noProof/>
                <w:webHidden/>
              </w:rPr>
              <w:instrText xml:space="preserve"> PAGEREF _Toc438565168 \h </w:instrText>
            </w:r>
            <w:r w:rsidR="009D4DFB">
              <w:rPr>
                <w:noProof/>
                <w:webHidden/>
              </w:rPr>
            </w:r>
            <w:r w:rsidR="009D4DFB">
              <w:rPr>
                <w:noProof/>
                <w:webHidden/>
              </w:rPr>
              <w:fldChar w:fldCharType="separate"/>
            </w:r>
            <w:r w:rsidR="00772C4E">
              <w:rPr>
                <w:noProof/>
                <w:webHidden/>
              </w:rPr>
              <w:t>3</w:t>
            </w:r>
            <w:r w:rsidR="009D4DFB">
              <w:rPr>
                <w:noProof/>
                <w:webHidden/>
              </w:rPr>
              <w:fldChar w:fldCharType="end"/>
            </w:r>
          </w:hyperlink>
        </w:p>
        <w:p w:rsidR="009D4DFB" w:rsidRDefault="00CF084C">
          <w:pPr>
            <w:pStyle w:val="TOC2"/>
            <w:tabs>
              <w:tab w:val="right" w:leader="dot" w:pos="9062"/>
            </w:tabs>
            <w:rPr>
              <w:noProof/>
              <w:lang w:eastAsia="en-US"/>
            </w:rPr>
          </w:pPr>
          <w:hyperlink w:anchor="_Toc438565169" w:history="1">
            <w:r w:rsidR="009D4DFB" w:rsidRPr="00AF1B2B">
              <w:rPr>
                <w:rStyle w:val="Hyperlink"/>
                <w:rFonts w:ascii="Times New Roman" w:hAnsi="Times New Roman" w:cs="Times New Roman"/>
                <w:noProof/>
                <w:color w:val="0000BF" w:themeColor="hyperlink" w:themeShade="BF"/>
              </w:rPr>
              <w:t>4.1. Analiza unutrašnjeg stanja i okruženja</w:t>
            </w:r>
            <w:r w:rsidR="009D4DFB">
              <w:rPr>
                <w:noProof/>
                <w:webHidden/>
              </w:rPr>
              <w:tab/>
            </w:r>
            <w:r w:rsidR="009D4DFB">
              <w:rPr>
                <w:noProof/>
                <w:webHidden/>
              </w:rPr>
              <w:fldChar w:fldCharType="begin"/>
            </w:r>
            <w:r w:rsidR="009D4DFB">
              <w:rPr>
                <w:noProof/>
                <w:webHidden/>
              </w:rPr>
              <w:instrText xml:space="preserve"> PAGEREF _Toc438565169 \h </w:instrText>
            </w:r>
            <w:r w:rsidR="009D4DFB">
              <w:rPr>
                <w:noProof/>
                <w:webHidden/>
              </w:rPr>
            </w:r>
            <w:r w:rsidR="009D4DFB">
              <w:rPr>
                <w:noProof/>
                <w:webHidden/>
              </w:rPr>
              <w:fldChar w:fldCharType="separate"/>
            </w:r>
            <w:r w:rsidR="00772C4E">
              <w:rPr>
                <w:noProof/>
                <w:webHidden/>
              </w:rPr>
              <w:t>4</w:t>
            </w:r>
            <w:r w:rsidR="009D4DFB">
              <w:rPr>
                <w:noProof/>
                <w:webHidden/>
              </w:rPr>
              <w:fldChar w:fldCharType="end"/>
            </w:r>
          </w:hyperlink>
        </w:p>
        <w:p w:rsidR="009D4DFB" w:rsidRDefault="00CF084C">
          <w:pPr>
            <w:pStyle w:val="TOC2"/>
            <w:tabs>
              <w:tab w:val="right" w:leader="dot" w:pos="9062"/>
            </w:tabs>
            <w:rPr>
              <w:noProof/>
              <w:lang w:eastAsia="en-US"/>
            </w:rPr>
          </w:pPr>
          <w:hyperlink w:anchor="_Toc438565170" w:history="1">
            <w:r w:rsidR="009D4DFB" w:rsidRPr="00AF1B2B">
              <w:rPr>
                <w:rStyle w:val="Hyperlink"/>
                <w:rFonts w:ascii="Times New Roman" w:hAnsi="Times New Roman" w:cs="Times New Roman"/>
                <w:noProof/>
                <w:color w:val="0000BF" w:themeColor="hyperlink" w:themeShade="BF"/>
              </w:rPr>
              <w:t>4.2. Srednjoročni cilj</w:t>
            </w:r>
            <w:r w:rsidR="009D4DFB">
              <w:rPr>
                <w:noProof/>
                <w:webHidden/>
              </w:rPr>
              <w:tab/>
            </w:r>
            <w:r w:rsidR="009D4DFB">
              <w:rPr>
                <w:noProof/>
                <w:webHidden/>
              </w:rPr>
              <w:fldChar w:fldCharType="begin"/>
            </w:r>
            <w:r w:rsidR="009D4DFB">
              <w:rPr>
                <w:noProof/>
                <w:webHidden/>
              </w:rPr>
              <w:instrText xml:space="preserve"> PAGEREF _Toc438565170 \h </w:instrText>
            </w:r>
            <w:r w:rsidR="009D4DFB">
              <w:rPr>
                <w:noProof/>
                <w:webHidden/>
              </w:rPr>
            </w:r>
            <w:r w:rsidR="009D4DFB">
              <w:rPr>
                <w:noProof/>
                <w:webHidden/>
              </w:rPr>
              <w:fldChar w:fldCharType="separate"/>
            </w:r>
            <w:r w:rsidR="00772C4E">
              <w:rPr>
                <w:noProof/>
                <w:webHidden/>
              </w:rPr>
              <w:t>5</w:t>
            </w:r>
            <w:r w:rsidR="009D4DFB">
              <w:rPr>
                <w:noProof/>
                <w:webHidden/>
              </w:rPr>
              <w:fldChar w:fldCharType="end"/>
            </w:r>
          </w:hyperlink>
        </w:p>
        <w:p w:rsidR="009D4DFB" w:rsidRDefault="00CF084C">
          <w:pPr>
            <w:pStyle w:val="TOC2"/>
            <w:tabs>
              <w:tab w:val="right" w:leader="dot" w:pos="9062"/>
            </w:tabs>
            <w:rPr>
              <w:noProof/>
              <w:lang w:eastAsia="en-US"/>
            </w:rPr>
          </w:pPr>
          <w:hyperlink w:anchor="_Toc438565171" w:history="1">
            <w:r w:rsidR="009D4DFB" w:rsidRPr="00AF1B2B">
              <w:rPr>
                <w:rStyle w:val="Hyperlink"/>
                <w:rFonts w:ascii="Times New Roman" w:eastAsiaTheme="majorEastAsia" w:hAnsi="Times New Roman" w:cs="Times New Roman"/>
                <w:b/>
                <w:bCs/>
                <w:noProof/>
                <w:color w:val="0000BF" w:themeColor="hyperlink" w:themeShade="BF"/>
              </w:rPr>
              <w:t>4.3. Specifični ciljevi</w:t>
            </w:r>
            <w:r w:rsidR="009D4DFB">
              <w:rPr>
                <w:noProof/>
                <w:webHidden/>
              </w:rPr>
              <w:tab/>
            </w:r>
            <w:r w:rsidR="009D4DFB">
              <w:rPr>
                <w:noProof/>
                <w:webHidden/>
              </w:rPr>
              <w:fldChar w:fldCharType="begin"/>
            </w:r>
            <w:r w:rsidR="009D4DFB">
              <w:rPr>
                <w:noProof/>
                <w:webHidden/>
              </w:rPr>
              <w:instrText xml:space="preserve"> PAGEREF _Toc438565171 \h </w:instrText>
            </w:r>
            <w:r w:rsidR="009D4DFB">
              <w:rPr>
                <w:noProof/>
                <w:webHidden/>
              </w:rPr>
            </w:r>
            <w:r w:rsidR="009D4DFB">
              <w:rPr>
                <w:noProof/>
                <w:webHidden/>
              </w:rPr>
              <w:fldChar w:fldCharType="separate"/>
            </w:r>
            <w:r w:rsidR="00772C4E">
              <w:rPr>
                <w:noProof/>
                <w:webHidden/>
              </w:rPr>
              <w:t>6</w:t>
            </w:r>
            <w:r w:rsidR="009D4DFB">
              <w:rPr>
                <w:noProof/>
                <w:webHidden/>
              </w:rPr>
              <w:fldChar w:fldCharType="end"/>
            </w:r>
          </w:hyperlink>
        </w:p>
        <w:p w:rsidR="009D4DFB" w:rsidRDefault="00CF084C">
          <w:pPr>
            <w:pStyle w:val="TOC1"/>
            <w:rPr>
              <w:noProof/>
              <w:lang w:eastAsia="en-US"/>
            </w:rPr>
          </w:pPr>
          <w:hyperlink w:anchor="_Toc438565172" w:history="1">
            <w:r w:rsidR="009D4DFB" w:rsidRPr="00AF1B2B">
              <w:rPr>
                <w:rStyle w:val="Hyperlink"/>
                <w:noProof/>
              </w:rPr>
              <w:t>Poglavlje 5: Resursi i kapaciteti potrebni za postizanje ciljeva</w:t>
            </w:r>
            <w:r w:rsidR="009D4DFB">
              <w:rPr>
                <w:noProof/>
                <w:webHidden/>
              </w:rPr>
              <w:tab/>
            </w:r>
            <w:r w:rsidR="009D4DFB">
              <w:rPr>
                <w:noProof/>
                <w:webHidden/>
              </w:rPr>
              <w:fldChar w:fldCharType="begin"/>
            </w:r>
            <w:r w:rsidR="009D4DFB">
              <w:rPr>
                <w:noProof/>
                <w:webHidden/>
              </w:rPr>
              <w:instrText xml:space="preserve"> PAGEREF _Toc438565172 \h </w:instrText>
            </w:r>
            <w:r w:rsidR="009D4DFB">
              <w:rPr>
                <w:noProof/>
                <w:webHidden/>
              </w:rPr>
            </w:r>
            <w:r w:rsidR="009D4DFB">
              <w:rPr>
                <w:noProof/>
                <w:webHidden/>
              </w:rPr>
              <w:fldChar w:fldCharType="separate"/>
            </w:r>
            <w:r w:rsidR="00772C4E">
              <w:rPr>
                <w:noProof/>
                <w:webHidden/>
              </w:rPr>
              <w:t>6</w:t>
            </w:r>
            <w:r w:rsidR="009D4DFB">
              <w:rPr>
                <w:noProof/>
                <w:webHidden/>
              </w:rPr>
              <w:fldChar w:fldCharType="end"/>
            </w:r>
          </w:hyperlink>
        </w:p>
        <w:p w:rsidR="009D4DFB" w:rsidRDefault="00CF084C">
          <w:pPr>
            <w:pStyle w:val="TOC2"/>
            <w:tabs>
              <w:tab w:val="right" w:leader="dot" w:pos="9062"/>
            </w:tabs>
            <w:rPr>
              <w:noProof/>
              <w:lang w:eastAsia="en-US"/>
            </w:rPr>
          </w:pPr>
          <w:hyperlink w:anchor="_Toc438565173" w:history="1">
            <w:r w:rsidR="009D4DFB" w:rsidRPr="00AF1B2B">
              <w:rPr>
                <w:rStyle w:val="Hyperlink"/>
                <w:rFonts w:ascii="Times New Roman" w:hAnsi="Times New Roman" w:cs="Times New Roman"/>
                <w:noProof/>
                <w:color w:val="0000BF" w:themeColor="hyperlink" w:themeShade="BF"/>
              </w:rPr>
              <w:t>5.1. Predviđeni izvori finansiranja</w:t>
            </w:r>
            <w:r w:rsidR="009D4DFB">
              <w:rPr>
                <w:noProof/>
                <w:webHidden/>
              </w:rPr>
              <w:tab/>
            </w:r>
            <w:r w:rsidR="009D4DFB">
              <w:rPr>
                <w:noProof/>
                <w:webHidden/>
              </w:rPr>
              <w:fldChar w:fldCharType="begin"/>
            </w:r>
            <w:r w:rsidR="009D4DFB">
              <w:rPr>
                <w:noProof/>
                <w:webHidden/>
              </w:rPr>
              <w:instrText xml:space="preserve"> PAGEREF _Toc438565173 \h </w:instrText>
            </w:r>
            <w:r w:rsidR="009D4DFB">
              <w:rPr>
                <w:noProof/>
                <w:webHidden/>
              </w:rPr>
            </w:r>
            <w:r w:rsidR="009D4DFB">
              <w:rPr>
                <w:noProof/>
                <w:webHidden/>
              </w:rPr>
              <w:fldChar w:fldCharType="separate"/>
            </w:r>
            <w:r w:rsidR="00772C4E">
              <w:rPr>
                <w:noProof/>
                <w:webHidden/>
              </w:rPr>
              <w:t>6</w:t>
            </w:r>
            <w:r w:rsidR="009D4DFB">
              <w:rPr>
                <w:noProof/>
                <w:webHidden/>
              </w:rPr>
              <w:fldChar w:fldCharType="end"/>
            </w:r>
          </w:hyperlink>
        </w:p>
        <w:p w:rsidR="009D4DFB" w:rsidRDefault="00CF084C">
          <w:pPr>
            <w:pStyle w:val="TOC2"/>
            <w:tabs>
              <w:tab w:val="right" w:leader="dot" w:pos="9062"/>
            </w:tabs>
            <w:rPr>
              <w:noProof/>
              <w:lang w:eastAsia="en-US"/>
            </w:rPr>
          </w:pPr>
          <w:hyperlink w:anchor="_Toc438565174" w:history="1">
            <w:r w:rsidR="009D4DFB" w:rsidRPr="00AF1B2B">
              <w:rPr>
                <w:rStyle w:val="Hyperlink"/>
                <w:rFonts w:ascii="Times New Roman" w:hAnsi="Times New Roman" w:cs="Times New Roman"/>
                <w:noProof/>
                <w:color w:val="0000BF" w:themeColor="hyperlink" w:themeShade="BF"/>
              </w:rPr>
              <w:t>5.2. Organizacioni kapaciteti</w:t>
            </w:r>
            <w:r w:rsidR="009D4DFB">
              <w:rPr>
                <w:noProof/>
                <w:webHidden/>
              </w:rPr>
              <w:tab/>
            </w:r>
            <w:r w:rsidR="009D4DFB">
              <w:rPr>
                <w:noProof/>
                <w:webHidden/>
              </w:rPr>
              <w:fldChar w:fldCharType="begin"/>
            </w:r>
            <w:r w:rsidR="009D4DFB">
              <w:rPr>
                <w:noProof/>
                <w:webHidden/>
              </w:rPr>
              <w:instrText xml:space="preserve"> PAGEREF _Toc438565174 \h </w:instrText>
            </w:r>
            <w:r w:rsidR="009D4DFB">
              <w:rPr>
                <w:noProof/>
                <w:webHidden/>
              </w:rPr>
            </w:r>
            <w:r w:rsidR="009D4DFB">
              <w:rPr>
                <w:noProof/>
                <w:webHidden/>
              </w:rPr>
              <w:fldChar w:fldCharType="separate"/>
            </w:r>
            <w:r w:rsidR="00772C4E">
              <w:rPr>
                <w:noProof/>
                <w:webHidden/>
              </w:rPr>
              <w:t>7</w:t>
            </w:r>
            <w:r w:rsidR="009D4DFB">
              <w:rPr>
                <w:noProof/>
                <w:webHidden/>
              </w:rPr>
              <w:fldChar w:fldCharType="end"/>
            </w:r>
          </w:hyperlink>
        </w:p>
        <w:p w:rsidR="009D4DFB" w:rsidRDefault="00CF084C">
          <w:pPr>
            <w:pStyle w:val="TOC1"/>
            <w:rPr>
              <w:noProof/>
              <w:lang w:eastAsia="en-US"/>
            </w:rPr>
          </w:pPr>
          <w:hyperlink w:anchor="_Toc438565175" w:history="1">
            <w:r w:rsidR="009D4DFB" w:rsidRPr="00AF1B2B">
              <w:rPr>
                <w:rStyle w:val="Hyperlink"/>
                <w:noProof/>
              </w:rPr>
              <w:t xml:space="preserve">Poglavlje 6: </w:t>
            </w:r>
            <w:r w:rsidR="009D4DFB" w:rsidRPr="00AF1B2B">
              <w:rPr>
                <w:rStyle w:val="Hyperlink"/>
                <w:rFonts w:ascii="Cambria" w:hAnsi="Cambria" w:cs="Cambria"/>
                <w:bCs/>
                <w:noProof/>
              </w:rPr>
              <w:t>Okvir za praćenje provođenja plana i evaluacija rezultata</w:t>
            </w:r>
            <w:r w:rsidR="009D4DFB">
              <w:rPr>
                <w:noProof/>
                <w:webHidden/>
              </w:rPr>
              <w:tab/>
            </w:r>
            <w:r w:rsidR="009D4DFB">
              <w:rPr>
                <w:noProof/>
                <w:webHidden/>
              </w:rPr>
              <w:fldChar w:fldCharType="begin"/>
            </w:r>
            <w:r w:rsidR="009D4DFB">
              <w:rPr>
                <w:noProof/>
                <w:webHidden/>
              </w:rPr>
              <w:instrText xml:space="preserve"> PAGEREF _Toc438565175 \h </w:instrText>
            </w:r>
            <w:r w:rsidR="009D4DFB">
              <w:rPr>
                <w:noProof/>
                <w:webHidden/>
              </w:rPr>
            </w:r>
            <w:r w:rsidR="009D4DFB">
              <w:rPr>
                <w:noProof/>
                <w:webHidden/>
              </w:rPr>
              <w:fldChar w:fldCharType="separate"/>
            </w:r>
            <w:r w:rsidR="00772C4E">
              <w:rPr>
                <w:noProof/>
                <w:webHidden/>
              </w:rPr>
              <w:t>7</w:t>
            </w:r>
            <w:r w:rsidR="009D4DFB">
              <w:rPr>
                <w:noProof/>
                <w:webHidden/>
              </w:rPr>
              <w:fldChar w:fldCharType="end"/>
            </w:r>
          </w:hyperlink>
        </w:p>
        <w:p w:rsidR="009D4DFB" w:rsidRDefault="00CF084C">
          <w:pPr>
            <w:pStyle w:val="TOC2"/>
            <w:tabs>
              <w:tab w:val="right" w:leader="dot" w:pos="9062"/>
            </w:tabs>
            <w:rPr>
              <w:noProof/>
              <w:lang w:eastAsia="en-US"/>
            </w:rPr>
          </w:pPr>
          <w:hyperlink w:anchor="_Toc438565176" w:history="1">
            <w:r w:rsidR="009D4DFB" w:rsidRPr="00AF1B2B">
              <w:rPr>
                <w:rStyle w:val="Hyperlink"/>
                <w:rFonts w:ascii="Times New Roman" w:hAnsi="Times New Roman" w:cs="Times New Roman"/>
                <w:noProof/>
                <w:color w:val="0000BF" w:themeColor="hyperlink" w:themeShade="BF"/>
              </w:rPr>
              <w:t>6.1. Definisanje ključnih pokazatelja</w:t>
            </w:r>
            <w:r w:rsidR="009D4DFB">
              <w:rPr>
                <w:noProof/>
                <w:webHidden/>
              </w:rPr>
              <w:tab/>
            </w:r>
            <w:r w:rsidR="009D4DFB">
              <w:rPr>
                <w:noProof/>
                <w:webHidden/>
              </w:rPr>
              <w:fldChar w:fldCharType="begin"/>
            </w:r>
            <w:r w:rsidR="009D4DFB">
              <w:rPr>
                <w:noProof/>
                <w:webHidden/>
              </w:rPr>
              <w:instrText xml:space="preserve"> PAGEREF _Toc438565176 \h </w:instrText>
            </w:r>
            <w:r w:rsidR="009D4DFB">
              <w:rPr>
                <w:noProof/>
                <w:webHidden/>
              </w:rPr>
            </w:r>
            <w:r w:rsidR="009D4DFB">
              <w:rPr>
                <w:noProof/>
                <w:webHidden/>
              </w:rPr>
              <w:fldChar w:fldCharType="separate"/>
            </w:r>
            <w:r w:rsidR="00772C4E">
              <w:rPr>
                <w:noProof/>
                <w:webHidden/>
              </w:rPr>
              <w:t>8</w:t>
            </w:r>
            <w:r w:rsidR="009D4DFB">
              <w:rPr>
                <w:noProof/>
                <w:webHidden/>
              </w:rPr>
              <w:fldChar w:fldCharType="end"/>
            </w:r>
          </w:hyperlink>
        </w:p>
        <w:p w:rsidR="009D4DFB" w:rsidRDefault="00CF084C">
          <w:pPr>
            <w:pStyle w:val="TOC2"/>
            <w:tabs>
              <w:tab w:val="right" w:leader="dot" w:pos="9062"/>
            </w:tabs>
            <w:rPr>
              <w:noProof/>
              <w:lang w:eastAsia="en-US"/>
            </w:rPr>
          </w:pPr>
          <w:hyperlink w:anchor="_Toc438565177" w:history="1">
            <w:r w:rsidR="009D4DFB" w:rsidRPr="00AF1B2B">
              <w:rPr>
                <w:rStyle w:val="Hyperlink"/>
                <w:rFonts w:ascii="Times New Roman" w:hAnsi="Times New Roman" w:cs="Times New Roman"/>
                <w:noProof/>
                <w:color w:val="0000BF" w:themeColor="hyperlink" w:themeShade="BF"/>
              </w:rPr>
              <w:t xml:space="preserve">6.2. </w:t>
            </w:r>
            <w:r w:rsidR="009D4DFB" w:rsidRPr="00AF1B2B">
              <w:rPr>
                <w:rStyle w:val="Hyperlink"/>
                <w:rFonts w:cstheme="minorHAnsi"/>
                <w:noProof/>
                <w:color w:val="0000BF" w:themeColor="hyperlink" w:themeShade="BF"/>
              </w:rPr>
              <w:t>Metode za prikupljanje informacija o pokazateljima</w:t>
            </w:r>
            <w:r w:rsidR="009D4DFB">
              <w:rPr>
                <w:noProof/>
                <w:webHidden/>
              </w:rPr>
              <w:tab/>
            </w:r>
            <w:r w:rsidR="009D4DFB">
              <w:rPr>
                <w:noProof/>
                <w:webHidden/>
              </w:rPr>
              <w:fldChar w:fldCharType="begin"/>
            </w:r>
            <w:r w:rsidR="009D4DFB">
              <w:rPr>
                <w:noProof/>
                <w:webHidden/>
              </w:rPr>
              <w:instrText xml:space="preserve"> PAGEREF _Toc438565177 \h </w:instrText>
            </w:r>
            <w:r w:rsidR="009D4DFB">
              <w:rPr>
                <w:noProof/>
                <w:webHidden/>
              </w:rPr>
            </w:r>
            <w:r w:rsidR="009D4DFB">
              <w:rPr>
                <w:noProof/>
                <w:webHidden/>
              </w:rPr>
              <w:fldChar w:fldCharType="separate"/>
            </w:r>
            <w:r w:rsidR="00772C4E">
              <w:rPr>
                <w:noProof/>
                <w:webHidden/>
              </w:rPr>
              <w:t>9</w:t>
            </w:r>
            <w:r w:rsidR="009D4DFB">
              <w:rPr>
                <w:noProof/>
                <w:webHidden/>
              </w:rPr>
              <w:fldChar w:fldCharType="end"/>
            </w:r>
          </w:hyperlink>
        </w:p>
        <w:p w:rsidR="009D4DFB" w:rsidRDefault="00CF084C">
          <w:pPr>
            <w:pStyle w:val="TOC2"/>
            <w:tabs>
              <w:tab w:val="right" w:leader="dot" w:pos="9062"/>
            </w:tabs>
            <w:rPr>
              <w:noProof/>
              <w:lang w:eastAsia="en-US"/>
            </w:rPr>
          </w:pPr>
          <w:hyperlink w:anchor="_Toc438565178" w:history="1">
            <w:r w:rsidR="009D4DFB" w:rsidRPr="00AF1B2B">
              <w:rPr>
                <w:rStyle w:val="Hyperlink"/>
                <w:rFonts w:ascii="Times New Roman" w:hAnsi="Times New Roman" w:cs="Times New Roman"/>
                <w:noProof/>
                <w:color w:val="0000BF" w:themeColor="hyperlink" w:themeShade="BF"/>
              </w:rPr>
              <w:t xml:space="preserve">6.3. </w:t>
            </w:r>
            <w:r w:rsidR="009D4DFB" w:rsidRPr="00AF1B2B">
              <w:rPr>
                <w:rStyle w:val="Hyperlink"/>
                <w:rFonts w:cstheme="minorHAnsi"/>
                <w:noProof/>
                <w:color w:val="0000BF" w:themeColor="hyperlink" w:themeShade="BF"/>
              </w:rPr>
              <w:t>Osnovni zaključci prethodnog Izvještaja o provođenju plana rada</w:t>
            </w:r>
            <w:r w:rsidR="009D4DFB">
              <w:rPr>
                <w:noProof/>
                <w:webHidden/>
              </w:rPr>
              <w:tab/>
            </w:r>
            <w:r w:rsidR="009D4DFB">
              <w:rPr>
                <w:noProof/>
                <w:webHidden/>
              </w:rPr>
              <w:fldChar w:fldCharType="begin"/>
            </w:r>
            <w:r w:rsidR="009D4DFB">
              <w:rPr>
                <w:noProof/>
                <w:webHidden/>
              </w:rPr>
              <w:instrText xml:space="preserve"> PAGEREF _Toc438565178 \h </w:instrText>
            </w:r>
            <w:r w:rsidR="009D4DFB">
              <w:rPr>
                <w:noProof/>
                <w:webHidden/>
              </w:rPr>
            </w:r>
            <w:r w:rsidR="009D4DFB">
              <w:rPr>
                <w:noProof/>
                <w:webHidden/>
              </w:rPr>
              <w:fldChar w:fldCharType="separate"/>
            </w:r>
            <w:r w:rsidR="00772C4E">
              <w:rPr>
                <w:noProof/>
                <w:webHidden/>
              </w:rPr>
              <w:t>9</w:t>
            </w:r>
            <w:r w:rsidR="009D4DFB">
              <w:rPr>
                <w:noProof/>
                <w:webHidden/>
              </w:rPr>
              <w:fldChar w:fldCharType="end"/>
            </w:r>
          </w:hyperlink>
        </w:p>
        <w:p w:rsidR="009D4DFB" w:rsidRDefault="00CF084C">
          <w:pPr>
            <w:pStyle w:val="TOC1"/>
            <w:rPr>
              <w:noProof/>
              <w:lang w:eastAsia="en-US"/>
            </w:rPr>
          </w:pPr>
          <w:hyperlink w:anchor="_Toc438565179" w:history="1">
            <w:r w:rsidR="009D4DFB" w:rsidRPr="00AF1B2B">
              <w:rPr>
                <w:rStyle w:val="Hyperlink"/>
                <w:noProof/>
              </w:rPr>
              <w:t xml:space="preserve">Poglavlje 7: </w:t>
            </w:r>
            <w:r w:rsidR="009D4DFB" w:rsidRPr="00AF1B2B">
              <w:rPr>
                <w:rStyle w:val="Hyperlink"/>
                <w:rFonts w:ascii="Cambria" w:hAnsi="Cambria" w:cs="Cambria"/>
                <w:bCs/>
                <w:noProof/>
              </w:rPr>
              <w:t>Prilozi</w:t>
            </w:r>
            <w:r w:rsidR="009D4DFB">
              <w:rPr>
                <w:noProof/>
                <w:webHidden/>
              </w:rPr>
              <w:tab/>
            </w:r>
            <w:r w:rsidR="009D4DFB">
              <w:rPr>
                <w:noProof/>
                <w:webHidden/>
              </w:rPr>
              <w:fldChar w:fldCharType="begin"/>
            </w:r>
            <w:r w:rsidR="009D4DFB">
              <w:rPr>
                <w:noProof/>
                <w:webHidden/>
              </w:rPr>
              <w:instrText xml:space="preserve"> PAGEREF _Toc438565179 \h </w:instrText>
            </w:r>
            <w:r w:rsidR="009D4DFB">
              <w:rPr>
                <w:noProof/>
                <w:webHidden/>
              </w:rPr>
            </w:r>
            <w:r w:rsidR="009D4DFB">
              <w:rPr>
                <w:noProof/>
                <w:webHidden/>
              </w:rPr>
              <w:fldChar w:fldCharType="separate"/>
            </w:r>
            <w:r w:rsidR="00772C4E">
              <w:rPr>
                <w:noProof/>
                <w:webHidden/>
              </w:rPr>
              <w:t>9</w:t>
            </w:r>
            <w:r w:rsidR="009D4DFB">
              <w:rPr>
                <w:noProof/>
                <w:webHidden/>
              </w:rPr>
              <w:fldChar w:fldCharType="end"/>
            </w:r>
          </w:hyperlink>
        </w:p>
        <w:p w:rsidR="00274502" w:rsidRDefault="00C35213" w:rsidP="00767BCA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  <w:p w:rsidR="00274502" w:rsidRDefault="00274502" w:rsidP="00767BCA">
          <w:pPr>
            <w:rPr>
              <w:b/>
              <w:bCs/>
              <w:noProof/>
            </w:rPr>
          </w:pPr>
        </w:p>
        <w:p w:rsidR="00274502" w:rsidRDefault="00274502" w:rsidP="00767BCA">
          <w:pPr>
            <w:rPr>
              <w:b/>
              <w:bCs/>
              <w:noProof/>
            </w:rPr>
          </w:pPr>
        </w:p>
        <w:p w:rsidR="00274502" w:rsidRDefault="00274502" w:rsidP="00767BCA">
          <w:pPr>
            <w:rPr>
              <w:b/>
              <w:bCs/>
              <w:noProof/>
            </w:rPr>
          </w:pPr>
        </w:p>
        <w:p w:rsidR="00274502" w:rsidRDefault="00274502" w:rsidP="00767BCA">
          <w:pPr>
            <w:rPr>
              <w:b/>
              <w:bCs/>
              <w:noProof/>
            </w:rPr>
          </w:pPr>
        </w:p>
        <w:p w:rsidR="00274502" w:rsidRDefault="00274502" w:rsidP="00767BCA">
          <w:pPr>
            <w:rPr>
              <w:b/>
              <w:bCs/>
              <w:noProof/>
            </w:rPr>
          </w:pPr>
        </w:p>
        <w:p w:rsidR="00274502" w:rsidRDefault="00274502" w:rsidP="00767BCA">
          <w:pPr>
            <w:rPr>
              <w:b/>
              <w:bCs/>
              <w:noProof/>
            </w:rPr>
          </w:pPr>
        </w:p>
        <w:p w:rsidR="009D4DFB" w:rsidRDefault="009D4DFB" w:rsidP="00767BCA">
          <w:pPr>
            <w:rPr>
              <w:b/>
              <w:bCs/>
              <w:noProof/>
            </w:rPr>
          </w:pPr>
        </w:p>
        <w:p w:rsidR="007702CA" w:rsidRPr="00767BCA" w:rsidRDefault="00CF084C" w:rsidP="00767BCA"/>
      </w:sdtContent>
    </w:sdt>
    <w:p w:rsidR="001B4CC9" w:rsidRPr="00486A4D" w:rsidRDefault="0048049C" w:rsidP="00DC72FB">
      <w:pPr>
        <w:pStyle w:val="Heading1"/>
      </w:pPr>
      <w:bookmarkStart w:id="2" w:name="_Toc438565162"/>
      <w:r w:rsidRPr="00486A4D">
        <w:lastRenderedPageBreak/>
        <w:t>Poglavlje 1: Strateški okvir</w:t>
      </w:r>
      <w:bookmarkEnd w:id="2"/>
      <w:r w:rsidRPr="00486A4D">
        <w:t xml:space="preserve"> </w:t>
      </w:r>
      <w:r w:rsidR="009B0FCA" w:rsidRPr="00486A4D">
        <w:t xml:space="preserve"> </w:t>
      </w:r>
    </w:p>
    <w:p w:rsidR="001300CE" w:rsidRDefault="001300CE" w:rsidP="0035658B">
      <w:pPr>
        <w:spacing w:after="0"/>
      </w:pPr>
    </w:p>
    <w:p w:rsidR="00DD0758" w:rsidRPr="00171D80" w:rsidRDefault="006D3D70" w:rsidP="007702CA">
      <w:pPr>
        <w:spacing w:after="0"/>
        <w:jc w:val="both"/>
        <w:rPr>
          <w:sz w:val="24"/>
          <w:szCs w:val="24"/>
        </w:rPr>
      </w:pPr>
      <w:r w:rsidRPr="00171D80">
        <w:rPr>
          <w:sz w:val="24"/>
          <w:szCs w:val="24"/>
        </w:rPr>
        <w:t xml:space="preserve">Prilikom izrade Srednjoročnog plana rada Agencije za javne nabavke Bosne i Hercegovine </w:t>
      </w:r>
      <w:r w:rsidR="007702CA" w:rsidRPr="00171D80">
        <w:rPr>
          <w:sz w:val="24"/>
          <w:szCs w:val="24"/>
        </w:rPr>
        <w:t xml:space="preserve">(u daljnjem tekstu: Agencija) </w:t>
      </w:r>
      <w:r w:rsidRPr="00171D80">
        <w:rPr>
          <w:sz w:val="24"/>
          <w:szCs w:val="24"/>
        </w:rPr>
        <w:t>za period 2016.-2018. na snazi je bila Strategija razvoja sistema javnih nabavki u Bosni i Hercegovini za period 2010-2015 godina koja proizilazila i zasnivala se na Programu prioriteta usklađivanja u zakonodavnim aktivnostima za provedbu evropskog partnerstva i privremenog sporazuma (31. decembar 2009.) i Akcioni plan za realizaciju prioriteta iz dokumenta Evropsko partnerstvo sa Bosnom i Hercegovinom, te odluku Parlamentarne skupštine Bosne i Hercegovine za pristupanje Bosne i Hercegovine Evropskoj uniji, potpisivanjem i ratifikacijom Sporazuma o stabilizaciji i pridruţivanju Bosne i Hercegovine Evropskoj uniji („Službeni glasnik BiH-Međunarodni ugovori“ broj 10/08). Ustavni osnov za sistem javnih nabavki sadržan je u u članu I tačka 4, Ustava Bosne i Hercegovine, gdje je definisano da Bosna i Hercegovina neće ometati punu slobodu kretanja lica, roba usluga i kapitala. Ustavni osnov Zakona o javnim nabavkama Bosne i Hercegovine je potvrđen odlukom Ustavnog suda BiH, broj 06/07. Ciljevi jedinstvenog sistema javne nabavke u Bosni i Hercegovini su koordinirano provođenje postupaka javnih nabavki i transparentna dodjela ugovora o javnim nabavkama, jednak tretman svih učesnika u postupcima javnih nabavki, poticanje tržišnog natjecanja i održivog privrednog rasta, te istovremeno pružanje jedinstvene pravne zaštite.</w:t>
      </w:r>
      <w:r w:rsidR="00DD0758" w:rsidRPr="00171D80">
        <w:rPr>
          <w:sz w:val="24"/>
          <w:szCs w:val="24"/>
        </w:rPr>
        <w:t xml:space="preserve"> </w:t>
      </w:r>
    </w:p>
    <w:p w:rsidR="00DD0758" w:rsidRPr="00171D80" w:rsidRDefault="00DD0758" w:rsidP="003875B8">
      <w:pPr>
        <w:spacing w:after="0"/>
        <w:jc w:val="both"/>
        <w:rPr>
          <w:sz w:val="24"/>
          <w:szCs w:val="24"/>
        </w:rPr>
      </w:pPr>
    </w:p>
    <w:p w:rsidR="006D3D70" w:rsidRPr="00171D80" w:rsidRDefault="00DD0758" w:rsidP="003875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1D80">
        <w:rPr>
          <w:sz w:val="24"/>
          <w:szCs w:val="24"/>
        </w:rPr>
        <w:t>Na osnovu preporuka u izvještaju Evropske Komisije</w:t>
      </w:r>
      <w:r w:rsidR="00713FC7" w:rsidRPr="00171D80">
        <w:rPr>
          <w:sz w:val="24"/>
          <w:szCs w:val="24"/>
        </w:rPr>
        <w:t xml:space="preserve">, nova </w:t>
      </w:r>
      <w:r w:rsidRPr="00171D80">
        <w:rPr>
          <w:sz w:val="24"/>
          <w:szCs w:val="24"/>
        </w:rPr>
        <w:t xml:space="preserve"> Strategij</w:t>
      </w:r>
      <w:r w:rsidR="00713FC7" w:rsidRPr="00171D80">
        <w:rPr>
          <w:sz w:val="24"/>
          <w:szCs w:val="24"/>
        </w:rPr>
        <w:t>a</w:t>
      </w:r>
      <w:r w:rsidRPr="00171D80">
        <w:rPr>
          <w:sz w:val="24"/>
          <w:szCs w:val="24"/>
        </w:rPr>
        <w:t xml:space="preserve"> razvoja sistema javnih nabavki u BiH</w:t>
      </w:r>
      <w:r w:rsidR="00C650DA" w:rsidRPr="00171D80">
        <w:rPr>
          <w:sz w:val="24"/>
          <w:szCs w:val="24"/>
        </w:rPr>
        <w:t xml:space="preserve"> 2016.-2021.</w:t>
      </w:r>
      <w:r w:rsidRPr="00171D80">
        <w:rPr>
          <w:sz w:val="24"/>
          <w:szCs w:val="24"/>
        </w:rPr>
        <w:t xml:space="preserve">, </w:t>
      </w:r>
      <w:r w:rsidR="00C650DA" w:rsidRPr="00171D80">
        <w:rPr>
          <w:sz w:val="24"/>
          <w:szCs w:val="24"/>
        </w:rPr>
        <w:t xml:space="preserve">kako je </w:t>
      </w:r>
      <w:r w:rsidRPr="00171D80">
        <w:rPr>
          <w:sz w:val="24"/>
          <w:szCs w:val="24"/>
        </w:rPr>
        <w:t xml:space="preserve">planirano </w:t>
      </w:r>
      <w:r w:rsidR="00C650DA" w:rsidRPr="00171D80">
        <w:rPr>
          <w:sz w:val="24"/>
          <w:szCs w:val="24"/>
        </w:rPr>
        <w:t>treba</w:t>
      </w:r>
      <w:r w:rsidR="007702CA" w:rsidRPr="00171D80">
        <w:rPr>
          <w:sz w:val="24"/>
          <w:szCs w:val="24"/>
        </w:rPr>
        <w:t xml:space="preserve"> </w:t>
      </w:r>
      <w:r w:rsidRPr="00171D80">
        <w:rPr>
          <w:sz w:val="24"/>
          <w:szCs w:val="24"/>
        </w:rPr>
        <w:t>da bude izrađena do 30.06.2016. godine, te da će za izradu iste Agencija predližiti Vijeću ministara BiH da se formira radna grupa u koju će biti uključeni svi relevantni faktori</w:t>
      </w:r>
    </w:p>
    <w:p w:rsidR="006D3D70" w:rsidRPr="00171D80" w:rsidRDefault="006D3D70" w:rsidP="00486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A4D" w:rsidRDefault="00486A4D" w:rsidP="00770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1D80">
        <w:rPr>
          <w:rFonts w:ascii="Times New Roman" w:hAnsi="Times New Roman" w:cs="Times New Roman"/>
          <w:sz w:val="24"/>
          <w:szCs w:val="24"/>
        </w:rPr>
        <w:t>Srednjoročni plan rada predstavlja okvir unutar rada Agencije , odnosno definiše prioritete i dugoročne ciljeve i potrebe, kao i viziju ključnih segmenata rada i djelovanja u narednom trogodišnjem periodu.</w:t>
      </w:r>
      <w:bookmarkStart w:id="3" w:name="_GoBack"/>
      <w:bookmarkEnd w:id="3"/>
    </w:p>
    <w:p w:rsidR="00DD0758" w:rsidRPr="00C650DA" w:rsidRDefault="00DD0758" w:rsidP="00486A4D">
      <w:pPr>
        <w:spacing w:after="0"/>
        <w:jc w:val="both"/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9753BF" w:rsidRPr="00767BCA" w:rsidRDefault="009753BF" w:rsidP="003D740C">
      <w:pPr>
        <w:pStyle w:val="Heading2"/>
        <w:rPr>
          <w:rFonts w:ascii="Times New Roman" w:hAnsi="Times New Roman" w:cs="Times New Roman"/>
          <w:color w:val="365F91" w:themeColor="accent1" w:themeShade="BF"/>
        </w:rPr>
      </w:pPr>
      <w:bookmarkStart w:id="4" w:name="_Toc438565163"/>
      <w:r w:rsidRPr="00767BCA">
        <w:rPr>
          <w:rFonts w:ascii="Times New Roman" w:hAnsi="Times New Roman" w:cs="Times New Roman"/>
          <w:color w:val="365F91" w:themeColor="accent1" w:themeShade="BF"/>
        </w:rPr>
        <w:t>1.2. Mandat institucije</w:t>
      </w:r>
      <w:bookmarkEnd w:id="4"/>
    </w:p>
    <w:p w:rsidR="00C650DA" w:rsidRDefault="00C650DA" w:rsidP="00486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77AD" w:rsidRDefault="00C177AD" w:rsidP="00C177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Mandat Agencije je da </w:t>
      </w:r>
      <w:r w:rsidRPr="00C177AD">
        <w:rPr>
          <w:rFonts w:ascii="Times New Roman" w:hAnsi="Times New Roman" w:cs="Times New Roman"/>
          <w:sz w:val="24"/>
          <w:szCs w:val="24"/>
        </w:rPr>
        <w:t>obezbjedi pravilno provođenje Zakona o javnim nabavkama kroz utvrđene nadležnosti</w:t>
      </w:r>
      <w:r>
        <w:rPr>
          <w:rFonts w:ascii="Times New Roman" w:hAnsi="Times New Roman" w:cs="Times New Roman"/>
          <w:sz w:val="24"/>
          <w:szCs w:val="24"/>
        </w:rPr>
        <w:t xml:space="preserve">. U skladu sa članom 92. stav (3) </w:t>
      </w:r>
      <w:r w:rsidRPr="00C177AD">
        <w:rPr>
          <w:rFonts w:ascii="Times New Roman" w:hAnsi="Times New Roman" w:cs="Times New Roman"/>
          <w:sz w:val="24"/>
          <w:szCs w:val="24"/>
        </w:rPr>
        <w:t>Zakonom o javnim nabavkama („Službeni glasnik BiH“, broj 39/14)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7AD">
        <w:rPr>
          <w:rFonts w:ascii="Times New Roman" w:hAnsi="Times New Roman" w:cs="Times New Roman"/>
          <w:sz w:val="24"/>
          <w:szCs w:val="24"/>
        </w:rPr>
        <w:t>utvrđene su sljedeće nadležnosti:</w:t>
      </w:r>
    </w:p>
    <w:p w:rsidR="00C177AD" w:rsidRPr="00C177AD" w:rsidRDefault="00C177AD" w:rsidP="00C177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77AD" w:rsidRPr="00C177AD" w:rsidRDefault="00C177AD" w:rsidP="00C177A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177AD">
        <w:rPr>
          <w:rFonts w:ascii="Times New Roman" w:hAnsi="Times New Roman" w:cs="Times New Roman"/>
          <w:sz w:val="24"/>
          <w:szCs w:val="24"/>
        </w:rPr>
        <w:t>a) priprema i izrada nacrta zakona, nacrta izmjena i dopuna zakona i pratećih podzakonskih akata, u svrhu osiguranja njihove djelotvornosti i svrsishodnosti;</w:t>
      </w:r>
    </w:p>
    <w:p w:rsidR="00C177AD" w:rsidRPr="00C177AD" w:rsidRDefault="00C177AD" w:rsidP="00C177A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177AD">
        <w:rPr>
          <w:rFonts w:ascii="Times New Roman" w:hAnsi="Times New Roman" w:cs="Times New Roman"/>
          <w:sz w:val="24"/>
          <w:szCs w:val="24"/>
        </w:rPr>
        <w:t>b) unapređenje informiranosti ugovornih organa i ponuđača o propisima o javnim nabavkama i njihovim ciljevima, postupcima i metodama;</w:t>
      </w:r>
    </w:p>
    <w:p w:rsidR="00C177AD" w:rsidRPr="00C177AD" w:rsidRDefault="00C177AD" w:rsidP="00C177A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177AD">
        <w:rPr>
          <w:rFonts w:ascii="Times New Roman" w:hAnsi="Times New Roman" w:cs="Times New Roman"/>
          <w:sz w:val="24"/>
          <w:szCs w:val="24"/>
        </w:rPr>
        <w:t xml:space="preserve">c) objavljivanje priručnika i uputstava, kao i izrada i ažuriranje standardnih obrazaca i modela u skladu s odredbama ovog zakona; </w:t>
      </w:r>
    </w:p>
    <w:p w:rsidR="00C177AD" w:rsidRPr="00C177AD" w:rsidRDefault="00C177AD" w:rsidP="00C177A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177AD">
        <w:rPr>
          <w:rFonts w:ascii="Times New Roman" w:hAnsi="Times New Roman" w:cs="Times New Roman"/>
          <w:sz w:val="24"/>
          <w:szCs w:val="24"/>
        </w:rPr>
        <w:t>d) pružanje tehničke pomoći i savjetodavnih mišljenja ugovornim organima i ponuđačima u vezi s pravilnom primjenom ovog zakona i podzakonskih akata;</w:t>
      </w:r>
    </w:p>
    <w:p w:rsidR="00C177AD" w:rsidRPr="00C177AD" w:rsidRDefault="00C177AD" w:rsidP="00C177A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177AD">
        <w:rPr>
          <w:rFonts w:ascii="Times New Roman" w:hAnsi="Times New Roman" w:cs="Times New Roman"/>
          <w:sz w:val="24"/>
          <w:szCs w:val="24"/>
        </w:rPr>
        <w:lastRenderedPageBreak/>
        <w:t>e) uspostavljanje sistema praćenja postupaka koje provode ugovorni organi za nabavku robe, usluga i radova, s ciljem edukacije i otklanjanja uočenih nepravilnosti u pojedinačnim postupcima javnih nabavki;</w:t>
      </w:r>
    </w:p>
    <w:p w:rsidR="00C177AD" w:rsidRPr="00C177AD" w:rsidRDefault="00C177AD" w:rsidP="00C177A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177AD">
        <w:rPr>
          <w:rFonts w:ascii="Times New Roman" w:hAnsi="Times New Roman" w:cs="Times New Roman"/>
          <w:sz w:val="24"/>
          <w:szCs w:val="24"/>
        </w:rPr>
        <w:t>f) prikupljanje podataka, izrada analize i objavljivanje informacija u vezi s postupcima javnih nabavki i dodijeljenim ugovorima o javnim nabavkama;</w:t>
      </w:r>
    </w:p>
    <w:p w:rsidR="00C177AD" w:rsidRPr="00C177AD" w:rsidRDefault="00C177AD" w:rsidP="00C177A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177AD">
        <w:rPr>
          <w:rFonts w:ascii="Times New Roman" w:hAnsi="Times New Roman" w:cs="Times New Roman"/>
          <w:sz w:val="24"/>
          <w:szCs w:val="24"/>
        </w:rPr>
        <w:t>g) razvijanje i uspostava elektronskih informacionih sistema u oblasti javnih nabavki u Bosni i Hercegovini;</w:t>
      </w:r>
    </w:p>
    <w:p w:rsidR="00C177AD" w:rsidRPr="00C177AD" w:rsidRDefault="00C177AD" w:rsidP="00C177A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177AD">
        <w:rPr>
          <w:rFonts w:ascii="Times New Roman" w:hAnsi="Times New Roman" w:cs="Times New Roman"/>
          <w:sz w:val="24"/>
          <w:szCs w:val="24"/>
        </w:rPr>
        <w:t>h) pokretanje, podržavanje i stvaranje pretpostavki za razvoj prakse elektronskih nabavki i komunikacija u oblasti javnih nabavki;</w:t>
      </w:r>
    </w:p>
    <w:p w:rsidR="00C177AD" w:rsidRPr="00C177AD" w:rsidRDefault="00C177AD" w:rsidP="00C177A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177AD">
        <w:rPr>
          <w:rFonts w:ascii="Times New Roman" w:hAnsi="Times New Roman" w:cs="Times New Roman"/>
          <w:sz w:val="24"/>
          <w:szCs w:val="24"/>
        </w:rPr>
        <w:t>i) organiziranje i održavanje obuka za ovlaštene predavače i službenike za javne nabavke, objavljivanje informacija u vezi s obukama, te priprema priručnika i drugih pratećih materijala za profesionalni razvoj u oblasti javnih nabavki u skladu s podzakonskim aktom koje donosi Vijeće ministara BiH;</w:t>
      </w:r>
    </w:p>
    <w:p w:rsidR="00C177AD" w:rsidRPr="00C177AD" w:rsidRDefault="00C177AD" w:rsidP="00C177A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177AD">
        <w:rPr>
          <w:rFonts w:ascii="Times New Roman" w:hAnsi="Times New Roman" w:cs="Times New Roman"/>
          <w:sz w:val="24"/>
          <w:szCs w:val="24"/>
        </w:rPr>
        <w:t>j) praćenje rada ovlaštenih predavača i vođenje evidencije o akreditiranim predavačima iz oblasti javnih nabavki i službenicima za javne nabavke;</w:t>
      </w:r>
    </w:p>
    <w:p w:rsidR="00C650DA" w:rsidRDefault="00C177AD" w:rsidP="00C177A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177AD">
        <w:rPr>
          <w:rFonts w:ascii="Times New Roman" w:hAnsi="Times New Roman" w:cs="Times New Roman"/>
          <w:sz w:val="24"/>
          <w:szCs w:val="24"/>
        </w:rPr>
        <w:t>k) izrada godišnjih izvještaja za Vijeće ministara BiH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7AD" w:rsidRDefault="00C177AD" w:rsidP="00C177A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177AD" w:rsidRPr="00DC72FB" w:rsidRDefault="00C177AD" w:rsidP="005F1C31">
      <w:pPr>
        <w:pStyle w:val="Heading1"/>
        <w:spacing w:before="0"/>
      </w:pPr>
      <w:bookmarkStart w:id="5" w:name="_Toc438565164"/>
      <w:r w:rsidRPr="00DC72FB">
        <w:t>Poglavlje 2: Vizija i misija</w:t>
      </w:r>
      <w:bookmarkEnd w:id="5"/>
      <w:r w:rsidRPr="00DC72FB">
        <w:t xml:space="preserve">  </w:t>
      </w:r>
    </w:p>
    <w:p w:rsidR="00C177AD" w:rsidRDefault="00C177AD" w:rsidP="00DC7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72FB" w:rsidRPr="00C177AD" w:rsidRDefault="00DC72FB" w:rsidP="00DC72FB">
      <w:pPr>
        <w:pStyle w:val="Heading2"/>
        <w:spacing w:before="0"/>
        <w:rPr>
          <w:rFonts w:ascii="Times New Roman" w:hAnsi="Times New Roman" w:cs="Times New Roman"/>
          <w:color w:val="365F91" w:themeColor="accent1" w:themeShade="BF"/>
        </w:rPr>
      </w:pPr>
      <w:bookmarkStart w:id="6" w:name="_Toc438565165"/>
      <w:r>
        <w:rPr>
          <w:rFonts w:ascii="Times New Roman" w:hAnsi="Times New Roman" w:cs="Times New Roman"/>
          <w:color w:val="365F91" w:themeColor="accent1" w:themeShade="BF"/>
        </w:rPr>
        <w:t>2</w:t>
      </w:r>
      <w:r w:rsidRPr="00C177AD">
        <w:rPr>
          <w:rFonts w:ascii="Times New Roman" w:hAnsi="Times New Roman" w:cs="Times New Roman"/>
          <w:color w:val="365F91" w:themeColor="accent1" w:themeShade="BF"/>
        </w:rPr>
        <w:t>.</w:t>
      </w:r>
      <w:r>
        <w:rPr>
          <w:rFonts w:ascii="Times New Roman" w:hAnsi="Times New Roman" w:cs="Times New Roman"/>
          <w:color w:val="365F91" w:themeColor="accent1" w:themeShade="BF"/>
        </w:rPr>
        <w:t>1</w:t>
      </w:r>
      <w:r w:rsidRPr="00C177AD">
        <w:rPr>
          <w:rFonts w:ascii="Times New Roman" w:hAnsi="Times New Roman" w:cs="Times New Roman"/>
          <w:color w:val="365F91" w:themeColor="accent1" w:themeShade="BF"/>
        </w:rPr>
        <w:t xml:space="preserve">. </w:t>
      </w:r>
      <w:r>
        <w:rPr>
          <w:rFonts w:ascii="Times New Roman" w:hAnsi="Times New Roman" w:cs="Times New Roman"/>
          <w:color w:val="365F91" w:themeColor="accent1" w:themeShade="BF"/>
        </w:rPr>
        <w:t>Vizija</w:t>
      </w:r>
      <w:bookmarkEnd w:id="6"/>
    </w:p>
    <w:p w:rsidR="00DC72FB" w:rsidRDefault="00DC72FB" w:rsidP="00C177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C72FB" w:rsidRPr="00DC72FB" w:rsidRDefault="00DC72FB" w:rsidP="00DC72F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C72FB">
        <w:rPr>
          <w:rFonts w:ascii="Times New Roman" w:hAnsi="Times New Roman" w:cs="Times New Roman"/>
          <w:sz w:val="24"/>
          <w:szCs w:val="24"/>
          <w:lang w:val="en-US"/>
        </w:rPr>
        <w:t>Vizija</w:t>
      </w:r>
      <w:proofErr w:type="spellEnd"/>
      <w:r w:rsidRPr="00DC72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72FB">
        <w:rPr>
          <w:rFonts w:ascii="Times New Roman" w:hAnsi="Times New Roman" w:cs="Times New Roman"/>
          <w:sz w:val="24"/>
          <w:szCs w:val="24"/>
          <w:lang w:val="en-US"/>
        </w:rPr>
        <w:t>Agencije</w:t>
      </w:r>
      <w:proofErr w:type="spellEnd"/>
      <w:r w:rsidRPr="00DC72FB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proofErr w:type="gramStart"/>
      <w:r w:rsidRPr="00DC72FB">
        <w:rPr>
          <w:rFonts w:ascii="Times New Roman" w:hAnsi="Times New Roman" w:cs="Times New Roman"/>
          <w:sz w:val="24"/>
          <w:szCs w:val="24"/>
          <w:lang w:val="en-US"/>
        </w:rPr>
        <w:t>obezbjediti</w:t>
      </w:r>
      <w:proofErr w:type="spellEnd"/>
      <w:r w:rsidRPr="00DC72F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e</w:t>
      </w:r>
      <w:r w:rsidRPr="00DC72FB">
        <w:rPr>
          <w:sz w:val="24"/>
          <w:szCs w:val="24"/>
        </w:rPr>
        <w:t>fikasan</w:t>
      </w:r>
      <w:proofErr w:type="gramEnd"/>
      <w:r w:rsidRPr="00DC72FB">
        <w:rPr>
          <w:sz w:val="24"/>
          <w:szCs w:val="24"/>
        </w:rPr>
        <w:t xml:space="preserve"> i transparentan sistem javnih nabavki</w:t>
      </w:r>
      <w:r w:rsidRPr="00DC72FB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:rsidR="00DC72FB" w:rsidRDefault="00DC72FB" w:rsidP="00C177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C72FB" w:rsidRPr="00C177AD" w:rsidRDefault="00DC72FB" w:rsidP="008E45F8">
      <w:pPr>
        <w:pStyle w:val="Heading2"/>
        <w:spacing w:before="0"/>
        <w:rPr>
          <w:rFonts w:ascii="Times New Roman" w:hAnsi="Times New Roman" w:cs="Times New Roman"/>
          <w:color w:val="365F91" w:themeColor="accent1" w:themeShade="BF"/>
        </w:rPr>
      </w:pPr>
      <w:bookmarkStart w:id="7" w:name="_Toc438565166"/>
      <w:bookmarkStart w:id="8" w:name="_Toc420486151"/>
      <w:r>
        <w:rPr>
          <w:rFonts w:ascii="Times New Roman" w:hAnsi="Times New Roman" w:cs="Times New Roman"/>
          <w:color w:val="365F91" w:themeColor="accent1" w:themeShade="BF"/>
        </w:rPr>
        <w:t>2</w:t>
      </w:r>
      <w:r w:rsidRPr="00C177AD">
        <w:rPr>
          <w:rFonts w:ascii="Times New Roman" w:hAnsi="Times New Roman" w:cs="Times New Roman"/>
          <w:color w:val="365F91" w:themeColor="accent1" w:themeShade="BF"/>
        </w:rPr>
        <w:t>.</w:t>
      </w:r>
      <w:r>
        <w:rPr>
          <w:rFonts w:ascii="Times New Roman" w:hAnsi="Times New Roman" w:cs="Times New Roman"/>
          <w:color w:val="365F91" w:themeColor="accent1" w:themeShade="BF"/>
        </w:rPr>
        <w:t>2</w:t>
      </w:r>
      <w:r w:rsidRPr="00C177AD">
        <w:rPr>
          <w:rFonts w:ascii="Times New Roman" w:hAnsi="Times New Roman" w:cs="Times New Roman"/>
          <w:color w:val="365F91" w:themeColor="accent1" w:themeShade="BF"/>
        </w:rPr>
        <w:t xml:space="preserve">. </w:t>
      </w:r>
      <w:r>
        <w:rPr>
          <w:rFonts w:ascii="Times New Roman" w:hAnsi="Times New Roman" w:cs="Times New Roman"/>
          <w:color w:val="365F91" w:themeColor="accent1" w:themeShade="BF"/>
        </w:rPr>
        <w:t>Misija</w:t>
      </w:r>
      <w:bookmarkEnd w:id="7"/>
    </w:p>
    <w:p w:rsidR="00DC72FB" w:rsidRDefault="00DC72FB" w:rsidP="00DC72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C72FB" w:rsidRPr="00DC72FB" w:rsidRDefault="00DC72FB" w:rsidP="00DC72F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C72FB">
        <w:rPr>
          <w:rFonts w:ascii="Times New Roman" w:hAnsi="Times New Roman" w:cs="Times New Roman"/>
          <w:bCs/>
          <w:sz w:val="24"/>
          <w:szCs w:val="24"/>
          <w:lang w:val="hr-BA"/>
        </w:rPr>
        <w:t>Razvoj sistema javnih nabavki koji omogućava najefikasnije korištenje javnih sredstava kroz aktivnu i otvorenu konkurenciju i jednak tretman prema svima.</w:t>
      </w:r>
    </w:p>
    <w:p w:rsidR="00DC72FB" w:rsidRDefault="00DC72FB" w:rsidP="00DC72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C72FB" w:rsidRPr="00DC72FB" w:rsidRDefault="00DC72FB" w:rsidP="00DC72FB">
      <w:pPr>
        <w:pStyle w:val="Heading1"/>
        <w:spacing w:before="0"/>
      </w:pPr>
      <w:bookmarkStart w:id="9" w:name="_Toc438565167"/>
      <w:r w:rsidRPr="00DC72FB">
        <w:t xml:space="preserve">Poglavlje </w:t>
      </w:r>
      <w:r>
        <w:t>3</w:t>
      </w:r>
      <w:r w:rsidRPr="00DC72FB">
        <w:t xml:space="preserve">: </w:t>
      </w:r>
      <w:r>
        <w:t>Učesnici i partneri</w:t>
      </w:r>
      <w:bookmarkEnd w:id="9"/>
      <w:r w:rsidRPr="00DC72FB">
        <w:t xml:space="preserve">  </w:t>
      </w:r>
    </w:p>
    <w:p w:rsidR="00DC72FB" w:rsidRDefault="00DC72FB" w:rsidP="005F1C31">
      <w:pPr>
        <w:spacing w:after="0"/>
        <w:rPr>
          <w:b/>
          <w:bCs/>
          <w:sz w:val="28"/>
          <w:szCs w:val="28"/>
        </w:rPr>
      </w:pPr>
    </w:p>
    <w:p w:rsidR="00DC72FB" w:rsidRPr="00DC72FB" w:rsidRDefault="00DC72FB" w:rsidP="00DC72FB">
      <w:pPr>
        <w:spacing w:after="0"/>
        <w:jc w:val="both"/>
        <w:rPr>
          <w:bCs/>
          <w:sz w:val="24"/>
          <w:szCs w:val="24"/>
        </w:rPr>
      </w:pPr>
      <w:r w:rsidRPr="00DC72FB">
        <w:rPr>
          <w:bCs/>
          <w:sz w:val="24"/>
          <w:szCs w:val="24"/>
        </w:rPr>
        <w:t>Međusobni odnosi organa uprave zasnivaju se, između ostalog, na saradnji, informisanju i dogovaranju, te u skladu sa tim obavezni su jedni drugima dostavljati, razmjenjivati i dijeliti iskustva, podatke i informacije potrebne za obavljanje poslova, zajednički raditi na osnivanju stručnih komisija, radnih tijela, kao i vršiti sve druge oblike međusobne saradnje u skladu sa svojim nadležnostima.</w:t>
      </w:r>
    </w:p>
    <w:p w:rsidR="00DC72FB" w:rsidRDefault="00FA732A" w:rsidP="00DC72F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Agencija</w:t>
      </w:r>
      <w:r w:rsidR="00DC72FB" w:rsidRPr="00DC72FB">
        <w:rPr>
          <w:bCs/>
          <w:sz w:val="24"/>
          <w:szCs w:val="24"/>
        </w:rPr>
        <w:t xml:space="preserve"> ostvaruje stalnu komunikaciju i saradnju u oblasti svog djelovanja sa institucijama BiH, entitetskim i drugim organima/tijelima BiH, kao i sa </w:t>
      </w:r>
      <w:r>
        <w:rPr>
          <w:bCs/>
          <w:sz w:val="24"/>
          <w:szCs w:val="24"/>
        </w:rPr>
        <w:t>nevladinim sektorom i</w:t>
      </w:r>
      <w:r w:rsidR="00DC72FB" w:rsidRPr="00DC72FB">
        <w:rPr>
          <w:bCs/>
          <w:sz w:val="24"/>
          <w:szCs w:val="24"/>
        </w:rPr>
        <w:t xml:space="preserve"> međunarodnim organizacijama.</w:t>
      </w:r>
    </w:p>
    <w:p w:rsidR="00FA732A" w:rsidRPr="00DC72FB" w:rsidRDefault="00FA732A" w:rsidP="00FA732A">
      <w:pPr>
        <w:pStyle w:val="Heading1"/>
        <w:spacing w:before="0"/>
      </w:pPr>
      <w:bookmarkStart w:id="10" w:name="_Toc438565168"/>
      <w:r w:rsidRPr="00DC72FB">
        <w:t xml:space="preserve">Poglavlje </w:t>
      </w:r>
      <w:r>
        <w:t>4</w:t>
      </w:r>
      <w:r w:rsidRPr="00DC72FB">
        <w:t xml:space="preserve">: </w:t>
      </w:r>
      <w:r>
        <w:t>Osnovna programska opredjeljenja</w:t>
      </w:r>
      <w:bookmarkEnd w:id="10"/>
      <w:r w:rsidRPr="00DC72FB">
        <w:t xml:space="preserve">  </w:t>
      </w:r>
    </w:p>
    <w:p w:rsidR="00FA732A" w:rsidRDefault="00FA732A" w:rsidP="005F1C31">
      <w:pPr>
        <w:spacing w:after="0"/>
        <w:jc w:val="both"/>
        <w:rPr>
          <w:bCs/>
          <w:sz w:val="24"/>
          <w:szCs w:val="24"/>
        </w:rPr>
      </w:pPr>
    </w:p>
    <w:p w:rsidR="00FA732A" w:rsidRPr="00FA732A" w:rsidRDefault="00FA732A" w:rsidP="00FA732A">
      <w:pPr>
        <w:jc w:val="both"/>
        <w:rPr>
          <w:bCs/>
          <w:sz w:val="24"/>
          <w:szCs w:val="24"/>
        </w:rPr>
      </w:pPr>
      <w:r w:rsidRPr="00FA732A">
        <w:rPr>
          <w:bCs/>
          <w:sz w:val="24"/>
          <w:szCs w:val="24"/>
        </w:rPr>
        <w:t xml:space="preserve">Srednjoročni cilj </w:t>
      </w:r>
      <w:r>
        <w:rPr>
          <w:bCs/>
          <w:sz w:val="24"/>
          <w:szCs w:val="24"/>
        </w:rPr>
        <w:t xml:space="preserve">Agencije </w:t>
      </w:r>
      <w:r w:rsidRPr="00FA732A">
        <w:rPr>
          <w:bCs/>
          <w:sz w:val="24"/>
          <w:szCs w:val="24"/>
        </w:rPr>
        <w:t xml:space="preserve">povezan je i izveden iz strateških ciljeva utvrđenih Strateškim okvirom za Bosnu i Hercegovinu i Srednjoročnim programom rada Vijeća ministara Bosne i </w:t>
      </w:r>
      <w:r w:rsidRPr="00FA732A">
        <w:rPr>
          <w:bCs/>
          <w:sz w:val="24"/>
          <w:szCs w:val="24"/>
        </w:rPr>
        <w:lastRenderedPageBreak/>
        <w:t>Hercegovine, i njegovo ostvarivanje zasniva se na realizaciji specifičnih ciljeva, kao i provođenju programa i projekata. Prilikom defini</w:t>
      </w:r>
      <w:r>
        <w:rPr>
          <w:bCs/>
          <w:sz w:val="24"/>
          <w:szCs w:val="24"/>
        </w:rPr>
        <w:t>s</w:t>
      </w:r>
      <w:r w:rsidRPr="00FA732A">
        <w:rPr>
          <w:bCs/>
          <w:sz w:val="24"/>
          <w:szCs w:val="24"/>
        </w:rPr>
        <w:t>anja ciljeva na svim nivoima koristi se SMART metoda, odnosno, svi ciljevi treba da su:</w:t>
      </w:r>
    </w:p>
    <w:p w:rsidR="00FA732A" w:rsidRPr="00FA732A" w:rsidRDefault="00FA732A" w:rsidP="00FA732A">
      <w:pPr>
        <w:jc w:val="both"/>
        <w:rPr>
          <w:bCs/>
          <w:sz w:val="24"/>
          <w:szCs w:val="24"/>
        </w:rPr>
      </w:pPr>
      <w:r w:rsidRPr="00FA732A">
        <w:rPr>
          <w:bCs/>
          <w:sz w:val="24"/>
          <w:szCs w:val="24"/>
        </w:rPr>
        <w:t>S – Specific (Specifičan)</w:t>
      </w:r>
    </w:p>
    <w:p w:rsidR="00FA732A" w:rsidRPr="00FA732A" w:rsidRDefault="00FA732A" w:rsidP="00FA732A">
      <w:pPr>
        <w:jc w:val="both"/>
        <w:rPr>
          <w:bCs/>
          <w:sz w:val="24"/>
          <w:szCs w:val="24"/>
        </w:rPr>
      </w:pPr>
      <w:r w:rsidRPr="00FA732A">
        <w:rPr>
          <w:bCs/>
          <w:sz w:val="24"/>
          <w:szCs w:val="24"/>
        </w:rPr>
        <w:t>M - Measurable (Mjerljiv)</w:t>
      </w:r>
    </w:p>
    <w:p w:rsidR="00FA732A" w:rsidRPr="00FA732A" w:rsidRDefault="00FA732A" w:rsidP="00FA732A">
      <w:pPr>
        <w:jc w:val="both"/>
        <w:rPr>
          <w:bCs/>
          <w:sz w:val="24"/>
          <w:szCs w:val="24"/>
        </w:rPr>
      </w:pPr>
      <w:r w:rsidRPr="00FA732A">
        <w:rPr>
          <w:bCs/>
          <w:sz w:val="24"/>
          <w:szCs w:val="24"/>
        </w:rPr>
        <w:t>A – Achievable (Ostvariv)</w:t>
      </w:r>
    </w:p>
    <w:p w:rsidR="00FA732A" w:rsidRPr="00FA732A" w:rsidRDefault="00FA732A" w:rsidP="00FA732A">
      <w:pPr>
        <w:jc w:val="both"/>
        <w:rPr>
          <w:bCs/>
          <w:sz w:val="24"/>
          <w:szCs w:val="24"/>
        </w:rPr>
      </w:pPr>
      <w:r w:rsidRPr="00FA732A">
        <w:rPr>
          <w:bCs/>
          <w:sz w:val="24"/>
          <w:szCs w:val="24"/>
        </w:rPr>
        <w:t>R – Realistic (Realan u odnosu na resurse)</w:t>
      </w:r>
    </w:p>
    <w:p w:rsidR="00FA732A" w:rsidRPr="00FA732A" w:rsidRDefault="00FA732A" w:rsidP="00FA732A">
      <w:pPr>
        <w:jc w:val="both"/>
        <w:rPr>
          <w:bCs/>
          <w:sz w:val="24"/>
          <w:szCs w:val="24"/>
        </w:rPr>
      </w:pPr>
      <w:r w:rsidRPr="00FA732A">
        <w:rPr>
          <w:bCs/>
          <w:sz w:val="24"/>
          <w:szCs w:val="24"/>
        </w:rPr>
        <w:t>T – Time bound (Vremenski ograničen)</w:t>
      </w:r>
    </w:p>
    <w:p w:rsidR="00FA732A" w:rsidRPr="00FA732A" w:rsidRDefault="00FA732A" w:rsidP="00FA732A">
      <w:pPr>
        <w:jc w:val="both"/>
        <w:rPr>
          <w:bCs/>
          <w:sz w:val="24"/>
          <w:szCs w:val="24"/>
        </w:rPr>
      </w:pPr>
      <w:r w:rsidRPr="00FA732A">
        <w:rPr>
          <w:bCs/>
          <w:sz w:val="24"/>
          <w:szCs w:val="24"/>
        </w:rPr>
        <w:t xml:space="preserve">Specifični ciljevi određeni su na osnovu mandata i misije </w:t>
      </w:r>
      <w:r>
        <w:rPr>
          <w:bCs/>
          <w:sz w:val="24"/>
          <w:szCs w:val="24"/>
        </w:rPr>
        <w:t>Agencije</w:t>
      </w:r>
      <w:r w:rsidRPr="00FA732A">
        <w:rPr>
          <w:bCs/>
          <w:sz w:val="24"/>
          <w:szCs w:val="24"/>
        </w:rPr>
        <w:t>, te su, u skladu sa nadležnostima, defini</w:t>
      </w:r>
      <w:r>
        <w:rPr>
          <w:bCs/>
          <w:sz w:val="24"/>
          <w:szCs w:val="24"/>
        </w:rPr>
        <w:t>sana</w:t>
      </w:r>
      <w:r w:rsidRPr="00FA732A">
        <w:rPr>
          <w:bCs/>
          <w:sz w:val="24"/>
          <w:szCs w:val="24"/>
        </w:rPr>
        <w:t xml:space="preserve"> tri specifična cilja. Programi, koji su instrumenti za implementaciju ciljeva, sastoje se od projekata, odnosno, skupa kompatibilnih aktivnosti koje vode ka ostvarenju zajedničkog cilja. Detaljan pregled programa i projekata </w:t>
      </w:r>
      <w:r>
        <w:rPr>
          <w:bCs/>
          <w:sz w:val="24"/>
          <w:szCs w:val="24"/>
        </w:rPr>
        <w:t>Agencije</w:t>
      </w:r>
      <w:r w:rsidRPr="00FA732A">
        <w:rPr>
          <w:bCs/>
          <w:sz w:val="24"/>
          <w:szCs w:val="24"/>
        </w:rPr>
        <w:t>, kao i pokazatelja uspjeha i rezultata prikazan je u Akcionom planu, koji se nalazi u prilogu 1. ovog Plana.</w:t>
      </w:r>
    </w:p>
    <w:p w:rsidR="00FA732A" w:rsidRPr="00FA732A" w:rsidRDefault="00FA732A" w:rsidP="00FA732A">
      <w:pPr>
        <w:jc w:val="both"/>
        <w:rPr>
          <w:bCs/>
          <w:sz w:val="24"/>
          <w:szCs w:val="24"/>
        </w:rPr>
      </w:pPr>
      <w:r w:rsidRPr="00FA732A">
        <w:rPr>
          <w:bCs/>
          <w:sz w:val="24"/>
          <w:szCs w:val="24"/>
        </w:rPr>
        <w:t xml:space="preserve">Radi razumijevanja konteksta u kojem se razvija srednjoročni plan rada i stvaranja osnove za definisanje projekata i programa, urađena je analiza unutrašnjeg stanja i okruženja u kojem radi </w:t>
      </w:r>
      <w:r>
        <w:rPr>
          <w:bCs/>
          <w:sz w:val="24"/>
          <w:szCs w:val="24"/>
        </w:rPr>
        <w:t>Agencija</w:t>
      </w:r>
      <w:r w:rsidRPr="00FA732A">
        <w:rPr>
          <w:bCs/>
          <w:sz w:val="24"/>
          <w:szCs w:val="24"/>
        </w:rPr>
        <w:t>.</w:t>
      </w:r>
    </w:p>
    <w:p w:rsidR="00FA732A" w:rsidRPr="00C177AD" w:rsidRDefault="008E45F8" w:rsidP="008E45F8">
      <w:pPr>
        <w:pStyle w:val="Heading2"/>
        <w:spacing w:before="0"/>
        <w:rPr>
          <w:rFonts w:ascii="Times New Roman" w:hAnsi="Times New Roman" w:cs="Times New Roman"/>
          <w:color w:val="365F91" w:themeColor="accent1" w:themeShade="BF"/>
        </w:rPr>
      </w:pPr>
      <w:bookmarkStart w:id="11" w:name="_Toc438565169"/>
      <w:r w:rsidRPr="008E45F8">
        <w:rPr>
          <w:rFonts w:ascii="Times New Roman" w:hAnsi="Times New Roman" w:cs="Times New Roman"/>
          <w:color w:val="365F91" w:themeColor="accent1" w:themeShade="BF"/>
        </w:rPr>
        <w:t>4.1. Analiza unutrašnjeg stanja i okruženja</w:t>
      </w:r>
      <w:bookmarkEnd w:id="11"/>
    </w:p>
    <w:p w:rsidR="00FA732A" w:rsidRDefault="00FA732A" w:rsidP="008E45F8">
      <w:pPr>
        <w:spacing w:after="0"/>
        <w:jc w:val="both"/>
        <w:rPr>
          <w:bCs/>
          <w:sz w:val="24"/>
          <w:szCs w:val="24"/>
        </w:rPr>
      </w:pPr>
    </w:p>
    <w:p w:rsidR="00FA732A" w:rsidRPr="00FA732A" w:rsidRDefault="00FA732A" w:rsidP="00FA732A">
      <w:pPr>
        <w:jc w:val="both"/>
        <w:rPr>
          <w:bCs/>
          <w:sz w:val="24"/>
          <w:szCs w:val="24"/>
        </w:rPr>
      </w:pPr>
      <w:r w:rsidRPr="00FA732A">
        <w:rPr>
          <w:bCs/>
          <w:sz w:val="24"/>
          <w:szCs w:val="24"/>
        </w:rPr>
        <w:t xml:space="preserve">Za izradu analize okruženja korištena je SWOT analiza, kao osnovni instrument. </w:t>
      </w:r>
    </w:p>
    <w:p w:rsidR="00FA732A" w:rsidRDefault="00FA732A" w:rsidP="00DC72FB">
      <w:pPr>
        <w:jc w:val="both"/>
        <w:rPr>
          <w:bCs/>
          <w:sz w:val="24"/>
          <w:szCs w:val="24"/>
        </w:rPr>
      </w:pPr>
      <w:r w:rsidRPr="00FA732A">
        <w:rPr>
          <w:bCs/>
          <w:sz w:val="24"/>
          <w:szCs w:val="24"/>
        </w:rPr>
        <w:t xml:space="preserve">SWOT analiza sektora javnih </w:t>
      </w:r>
      <w:r w:rsidR="00767BCA">
        <w:rPr>
          <w:bCs/>
          <w:sz w:val="24"/>
          <w:szCs w:val="24"/>
        </w:rPr>
        <w:t>nabavki</w:t>
      </w:r>
      <w:r w:rsidRPr="00FA732A">
        <w:rPr>
          <w:bCs/>
          <w:sz w:val="24"/>
          <w:szCs w:val="24"/>
        </w:rPr>
        <w:t xml:space="preserve"> izvršena je kroz detaljnu analizu procesa i sadržaja rada po ključnim elementima okruženja, imajući u vidu uslove za ostvarenje misije i vizije </w:t>
      </w:r>
      <w:r w:rsidR="00767BCA">
        <w:rPr>
          <w:bCs/>
          <w:sz w:val="24"/>
          <w:szCs w:val="24"/>
        </w:rPr>
        <w:t>Agencije</w:t>
      </w:r>
      <w:r w:rsidRPr="00FA732A">
        <w:rPr>
          <w:bCs/>
          <w:sz w:val="24"/>
          <w:szCs w:val="24"/>
        </w:rPr>
        <w:t>. Slijedeći dogovorenu metodologiju, prvo je izrađena tabela koja je obuhvatila sve ideje koje su dali članovi grupe, a potom je zajednički izvršena konsolidacija rezultata analize. Rezultati ovog procesa sumirani su u Tabeli 1 i Tabeli 2.</w:t>
      </w:r>
    </w:p>
    <w:p w:rsidR="005F1C31" w:rsidRDefault="008E45F8" w:rsidP="00DC72FB">
      <w:pPr>
        <w:jc w:val="both"/>
        <w:rPr>
          <w:bCs/>
          <w:sz w:val="24"/>
          <w:szCs w:val="24"/>
        </w:rPr>
      </w:pPr>
      <w:r w:rsidRPr="008E45F8">
        <w:rPr>
          <w:bCs/>
          <w:sz w:val="24"/>
          <w:szCs w:val="24"/>
        </w:rPr>
        <w:t xml:space="preserve">Tabela 1. Analiza unutrašnjih faktora koji utiču na </w:t>
      </w:r>
      <w:r>
        <w:rPr>
          <w:bCs/>
          <w:sz w:val="24"/>
          <w:szCs w:val="24"/>
        </w:rPr>
        <w:t>Agenciju.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423"/>
        <w:gridCol w:w="4536"/>
      </w:tblGrid>
      <w:tr w:rsidR="008E45F8" w:rsidRPr="002019F6" w:rsidTr="008E45F8">
        <w:trPr>
          <w:cantSplit/>
          <w:trHeight w:val="413"/>
        </w:trPr>
        <w:tc>
          <w:tcPr>
            <w:tcW w:w="534" w:type="dxa"/>
            <w:shd w:val="clear" w:color="auto" w:fill="C6D9F1"/>
            <w:textDirection w:val="btLr"/>
          </w:tcPr>
          <w:p w:rsidR="008E45F8" w:rsidRPr="002019F6" w:rsidRDefault="008E45F8" w:rsidP="00E0611F">
            <w:pPr>
              <w:spacing w:after="0"/>
              <w:ind w:left="113" w:right="113"/>
              <w:jc w:val="center"/>
              <w:rPr>
                <w:i/>
                <w:iCs/>
                <w:sz w:val="18"/>
              </w:rPr>
            </w:pPr>
          </w:p>
        </w:tc>
        <w:tc>
          <w:tcPr>
            <w:tcW w:w="4423" w:type="dxa"/>
            <w:shd w:val="clear" w:color="auto" w:fill="C6D9F1"/>
            <w:vAlign w:val="center"/>
          </w:tcPr>
          <w:p w:rsidR="008E45F8" w:rsidRPr="002019F6" w:rsidRDefault="008E45F8" w:rsidP="008E45F8">
            <w:pPr>
              <w:spacing w:after="0"/>
              <w:jc w:val="center"/>
              <w:rPr>
                <w:i/>
                <w:iCs/>
                <w:sz w:val="18"/>
              </w:rPr>
            </w:pPr>
            <w:r w:rsidRPr="002019F6">
              <w:rPr>
                <w:b/>
                <w:bCs/>
                <w:sz w:val="18"/>
              </w:rPr>
              <w:t>SNAG</w:t>
            </w:r>
            <w:r>
              <w:rPr>
                <w:b/>
                <w:bCs/>
                <w:sz w:val="18"/>
              </w:rPr>
              <w:t>E AGENCIJE</w:t>
            </w:r>
          </w:p>
        </w:tc>
        <w:tc>
          <w:tcPr>
            <w:tcW w:w="4536" w:type="dxa"/>
            <w:shd w:val="clear" w:color="auto" w:fill="C6D9F1"/>
            <w:vAlign w:val="center"/>
          </w:tcPr>
          <w:p w:rsidR="008E45F8" w:rsidRPr="002019F6" w:rsidRDefault="008E45F8" w:rsidP="008E45F8">
            <w:pPr>
              <w:spacing w:after="0"/>
              <w:jc w:val="center"/>
              <w:rPr>
                <w:i/>
                <w:iCs/>
                <w:sz w:val="18"/>
              </w:rPr>
            </w:pPr>
            <w:r w:rsidRPr="002019F6">
              <w:rPr>
                <w:b/>
                <w:bCs/>
                <w:sz w:val="18"/>
              </w:rPr>
              <w:t xml:space="preserve">SLABOSTI </w:t>
            </w:r>
            <w:r>
              <w:rPr>
                <w:b/>
                <w:bCs/>
                <w:sz w:val="18"/>
              </w:rPr>
              <w:t>AGENCIJE</w:t>
            </w:r>
          </w:p>
        </w:tc>
      </w:tr>
      <w:tr w:rsidR="008E45F8" w:rsidRPr="002019F6" w:rsidTr="00E0611F">
        <w:trPr>
          <w:cantSplit/>
          <w:trHeight w:val="1134"/>
        </w:trPr>
        <w:tc>
          <w:tcPr>
            <w:tcW w:w="534" w:type="dxa"/>
            <w:textDirection w:val="btLr"/>
          </w:tcPr>
          <w:p w:rsidR="008E45F8" w:rsidRPr="002019F6" w:rsidRDefault="008E45F8" w:rsidP="00E0611F">
            <w:pPr>
              <w:spacing w:after="0"/>
              <w:ind w:left="113" w:right="-108"/>
              <w:jc w:val="center"/>
              <w:rPr>
                <w:b/>
                <w:bCs/>
                <w:sz w:val="14"/>
              </w:rPr>
            </w:pPr>
            <w:r w:rsidRPr="002019F6">
              <w:rPr>
                <w:b/>
                <w:bCs/>
                <w:sz w:val="14"/>
              </w:rPr>
              <w:t>Resursi</w:t>
            </w:r>
          </w:p>
          <w:p w:rsidR="008E45F8" w:rsidRPr="002019F6" w:rsidRDefault="008E45F8" w:rsidP="00E0611F">
            <w:pPr>
              <w:spacing w:after="0"/>
              <w:ind w:left="113" w:right="113"/>
              <w:jc w:val="center"/>
              <w:rPr>
                <w:sz w:val="14"/>
              </w:rPr>
            </w:pPr>
          </w:p>
        </w:tc>
        <w:tc>
          <w:tcPr>
            <w:tcW w:w="4423" w:type="dxa"/>
          </w:tcPr>
          <w:p w:rsidR="008E45F8" w:rsidRPr="00D0369A" w:rsidRDefault="008E45F8" w:rsidP="008E45F8">
            <w:pPr>
              <w:numPr>
                <w:ilvl w:val="0"/>
                <w:numId w:val="4"/>
              </w:numPr>
              <w:spacing w:after="120" w:line="240" w:lineRule="auto"/>
              <w:contextualSpacing/>
              <w:jc w:val="both"/>
              <w:rPr>
                <w:sz w:val="18"/>
              </w:rPr>
            </w:pPr>
            <w:r w:rsidRPr="00D0369A">
              <w:rPr>
                <w:sz w:val="18"/>
              </w:rPr>
              <w:t>Kvalitet</w:t>
            </w:r>
            <w:r>
              <w:rPr>
                <w:sz w:val="18"/>
              </w:rPr>
              <w:t>ni</w:t>
            </w:r>
            <w:r w:rsidRPr="00D0369A">
              <w:rPr>
                <w:sz w:val="18"/>
              </w:rPr>
              <w:t xml:space="preserve"> kad</w:t>
            </w:r>
            <w:r>
              <w:rPr>
                <w:sz w:val="18"/>
              </w:rPr>
              <w:t xml:space="preserve">rovi koji </w:t>
            </w:r>
            <w:r w:rsidRPr="00D0369A">
              <w:rPr>
                <w:sz w:val="18"/>
              </w:rPr>
              <w:t>posjeduju visok st</w:t>
            </w:r>
            <w:r>
              <w:rPr>
                <w:sz w:val="18"/>
              </w:rPr>
              <w:t>epen</w:t>
            </w:r>
            <w:r w:rsidRPr="00D0369A">
              <w:rPr>
                <w:sz w:val="18"/>
              </w:rPr>
              <w:t xml:space="preserve"> samostalnosti u radu</w:t>
            </w:r>
            <w:r>
              <w:rPr>
                <w:sz w:val="18"/>
              </w:rPr>
              <w:t>,</w:t>
            </w:r>
          </w:p>
          <w:p w:rsidR="008E45F8" w:rsidRPr="00D0369A" w:rsidRDefault="008E45F8" w:rsidP="008E45F8">
            <w:pPr>
              <w:numPr>
                <w:ilvl w:val="0"/>
                <w:numId w:val="4"/>
              </w:numPr>
              <w:spacing w:after="120" w:line="240" w:lineRule="auto"/>
              <w:contextualSpacing/>
              <w:jc w:val="both"/>
              <w:rPr>
                <w:sz w:val="18"/>
              </w:rPr>
            </w:pPr>
            <w:r w:rsidRPr="00D0369A">
              <w:rPr>
                <w:sz w:val="18"/>
              </w:rPr>
              <w:t>Adekvatni informacioni sistemi vezani za javne nabavke</w:t>
            </w:r>
            <w:r>
              <w:rPr>
                <w:sz w:val="18"/>
              </w:rPr>
              <w:t>,</w:t>
            </w:r>
          </w:p>
          <w:p w:rsidR="008E45F8" w:rsidRPr="00EC3517" w:rsidRDefault="008E45F8" w:rsidP="008E45F8">
            <w:pPr>
              <w:numPr>
                <w:ilvl w:val="0"/>
                <w:numId w:val="4"/>
              </w:numPr>
              <w:spacing w:after="120" w:line="240" w:lineRule="auto"/>
              <w:contextualSpacing/>
              <w:jc w:val="both"/>
              <w:rPr>
                <w:sz w:val="18"/>
              </w:rPr>
            </w:pPr>
            <w:r w:rsidRPr="00D0369A">
              <w:rPr>
                <w:sz w:val="18"/>
              </w:rPr>
              <w:t>Kvalitetna ICT oprema sa redovnim održavanjem.</w:t>
            </w:r>
          </w:p>
        </w:tc>
        <w:tc>
          <w:tcPr>
            <w:tcW w:w="4536" w:type="dxa"/>
          </w:tcPr>
          <w:p w:rsidR="008E45F8" w:rsidRPr="0082045E" w:rsidRDefault="008E45F8" w:rsidP="008E45F8">
            <w:pPr>
              <w:numPr>
                <w:ilvl w:val="0"/>
                <w:numId w:val="5"/>
              </w:numPr>
              <w:spacing w:after="120" w:line="240" w:lineRule="auto"/>
              <w:contextualSpacing/>
              <w:jc w:val="both"/>
              <w:rPr>
                <w:sz w:val="18"/>
              </w:rPr>
            </w:pPr>
            <w:r w:rsidRPr="0082045E">
              <w:rPr>
                <w:sz w:val="18"/>
              </w:rPr>
              <w:t>Nedostatak kadrova</w:t>
            </w:r>
            <w:r>
              <w:rPr>
                <w:sz w:val="18"/>
              </w:rPr>
              <w:t xml:space="preserve"> zbog nedovoljnih finansijskih sredstava za popunjavanje sistematizovanih radnih mjesta,</w:t>
            </w:r>
          </w:p>
          <w:p w:rsidR="008E45F8" w:rsidRDefault="008E45F8" w:rsidP="008E45F8">
            <w:pPr>
              <w:numPr>
                <w:ilvl w:val="0"/>
                <w:numId w:val="5"/>
              </w:numPr>
              <w:spacing w:after="120" w:line="240" w:lineRule="auto"/>
              <w:contextualSpacing/>
              <w:jc w:val="both"/>
              <w:rPr>
                <w:sz w:val="18"/>
              </w:rPr>
            </w:pPr>
            <w:r w:rsidRPr="0082045E">
              <w:rPr>
                <w:sz w:val="18"/>
              </w:rPr>
              <w:t>Nedostatak finansijskih sredstava za kvalitetnu edukaciju i stručno usavršavanje,</w:t>
            </w:r>
          </w:p>
          <w:p w:rsidR="008E45F8" w:rsidRPr="0082045E" w:rsidRDefault="008E45F8" w:rsidP="008E45F8">
            <w:pPr>
              <w:numPr>
                <w:ilvl w:val="0"/>
                <w:numId w:val="5"/>
              </w:numPr>
              <w:spacing w:after="120" w:line="240" w:lineRule="auto"/>
              <w:contextualSpacing/>
              <w:jc w:val="both"/>
              <w:rPr>
                <w:sz w:val="18"/>
              </w:rPr>
            </w:pPr>
            <w:r w:rsidRPr="0082045E">
              <w:rPr>
                <w:sz w:val="18"/>
              </w:rPr>
              <w:t>Nedostatak finansijskih sredstava za</w:t>
            </w:r>
            <w:r>
              <w:rPr>
                <w:sz w:val="18"/>
              </w:rPr>
              <w:t xml:space="preserve"> daljni razvoj ICT sistema.</w:t>
            </w:r>
          </w:p>
        </w:tc>
      </w:tr>
      <w:tr w:rsidR="008E45F8" w:rsidRPr="002019F6" w:rsidTr="00E0611F">
        <w:trPr>
          <w:cantSplit/>
          <w:trHeight w:val="1134"/>
        </w:trPr>
        <w:tc>
          <w:tcPr>
            <w:tcW w:w="534" w:type="dxa"/>
            <w:textDirection w:val="btLr"/>
          </w:tcPr>
          <w:p w:rsidR="008E45F8" w:rsidRPr="002019F6" w:rsidRDefault="008E45F8" w:rsidP="00E0611F">
            <w:pPr>
              <w:spacing w:after="0"/>
              <w:ind w:left="113" w:right="113"/>
              <w:jc w:val="center"/>
              <w:rPr>
                <w:sz w:val="14"/>
              </w:rPr>
            </w:pPr>
            <w:r w:rsidRPr="002019F6">
              <w:rPr>
                <w:b/>
                <w:bCs/>
                <w:sz w:val="14"/>
              </w:rPr>
              <w:t>Organizacija</w:t>
            </w:r>
          </w:p>
          <w:p w:rsidR="008E45F8" w:rsidRPr="002019F6" w:rsidRDefault="008E45F8" w:rsidP="00E0611F">
            <w:pPr>
              <w:spacing w:after="0"/>
              <w:ind w:left="113" w:right="113"/>
              <w:jc w:val="center"/>
              <w:rPr>
                <w:sz w:val="14"/>
              </w:rPr>
            </w:pPr>
          </w:p>
        </w:tc>
        <w:tc>
          <w:tcPr>
            <w:tcW w:w="4423" w:type="dxa"/>
          </w:tcPr>
          <w:p w:rsidR="008E45F8" w:rsidRPr="002019F6" w:rsidRDefault="008E45F8" w:rsidP="008E45F8">
            <w:pPr>
              <w:numPr>
                <w:ilvl w:val="0"/>
                <w:numId w:val="6"/>
              </w:numPr>
              <w:spacing w:after="120" w:line="240" w:lineRule="auto"/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Kvalitetna organizacija rada u okviru postojeće sistematizacije,</w:t>
            </w:r>
          </w:p>
          <w:p w:rsidR="008E45F8" w:rsidRPr="0082045E" w:rsidRDefault="008E45F8" w:rsidP="008E45F8">
            <w:pPr>
              <w:numPr>
                <w:ilvl w:val="0"/>
                <w:numId w:val="6"/>
              </w:numPr>
              <w:spacing w:after="120" w:line="240" w:lineRule="auto"/>
              <w:contextualSpacing/>
              <w:jc w:val="both"/>
              <w:rPr>
                <w:sz w:val="18"/>
              </w:rPr>
            </w:pPr>
            <w:r w:rsidRPr="0082045E">
              <w:rPr>
                <w:sz w:val="18"/>
              </w:rPr>
              <w:t>Dobra i kvalitetna saradnja sa donatorima,</w:t>
            </w:r>
          </w:p>
          <w:p w:rsidR="008E45F8" w:rsidRPr="0082045E" w:rsidRDefault="008E45F8" w:rsidP="008E45F8">
            <w:pPr>
              <w:numPr>
                <w:ilvl w:val="0"/>
                <w:numId w:val="6"/>
              </w:numPr>
              <w:spacing w:after="120" w:line="240" w:lineRule="auto"/>
              <w:contextualSpacing/>
              <w:jc w:val="both"/>
              <w:rPr>
                <w:sz w:val="18"/>
              </w:rPr>
            </w:pPr>
            <w:r w:rsidRPr="0082045E">
              <w:rPr>
                <w:sz w:val="18"/>
              </w:rPr>
              <w:t>Kontinuirana suradnja i komunikacija sa međunarodnim i domaćim institucijama, te sudionicima postupaka javnih nabava.</w:t>
            </w:r>
          </w:p>
          <w:p w:rsidR="008E45F8" w:rsidRPr="002019F6" w:rsidRDefault="008E45F8" w:rsidP="008E45F8">
            <w:pPr>
              <w:numPr>
                <w:ilvl w:val="0"/>
                <w:numId w:val="6"/>
              </w:numPr>
              <w:spacing w:after="120" w:line="240" w:lineRule="auto"/>
              <w:contextualSpacing/>
              <w:jc w:val="both"/>
              <w:rPr>
                <w:sz w:val="18"/>
              </w:rPr>
            </w:pPr>
            <w:r w:rsidRPr="0082045E">
              <w:rPr>
                <w:sz w:val="18"/>
              </w:rPr>
              <w:t>Implementiran infomacioni sistem za upravljanje dokumentima (DMS) - OWIS</w:t>
            </w:r>
          </w:p>
        </w:tc>
        <w:tc>
          <w:tcPr>
            <w:tcW w:w="4536" w:type="dxa"/>
          </w:tcPr>
          <w:p w:rsidR="008E45F8" w:rsidRPr="0082045E" w:rsidRDefault="008E45F8" w:rsidP="008E45F8">
            <w:pPr>
              <w:numPr>
                <w:ilvl w:val="0"/>
                <w:numId w:val="7"/>
              </w:numPr>
              <w:spacing w:after="120" w:line="240" w:lineRule="auto"/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Poboljšanje internog protoka informacija i redovno održavanje stručnog kolegija,</w:t>
            </w:r>
            <w:r w:rsidRPr="00120AB4">
              <w:rPr>
                <w:sz w:val="18"/>
                <w:highlight w:val="cyan"/>
              </w:rPr>
              <w:t xml:space="preserve"> </w:t>
            </w:r>
          </w:p>
          <w:p w:rsidR="008E45F8" w:rsidRPr="0082045E" w:rsidRDefault="008E45F8" w:rsidP="008E45F8">
            <w:pPr>
              <w:numPr>
                <w:ilvl w:val="0"/>
                <w:numId w:val="7"/>
              </w:numPr>
              <w:spacing w:after="120" w:line="240" w:lineRule="auto"/>
              <w:contextualSpacing/>
              <w:jc w:val="both"/>
              <w:rPr>
                <w:sz w:val="18"/>
              </w:rPr>
            </w:pPr>
            <w:r w:rsidRPr="0082045E">
              <w:rPr>
                <w:sz w:val="18"/>
              </w:rPr>
              <w:t>Neadekvatna organizaciona struktura i sistmatizacija radnih mjesta</w:t>
            </w:r>
            <w:r>
              <w:rPr>
                <w:sz w:val="18"/>
              </w:rPr>
              <w:t xml:space="preserve"> te preklapanje poslova između pojedinih sektora,</w:t>
            </w:r>
          </w:p>
          <w:p w:rsidR="008E45F8" w:rsidRPr="0082045E" w:rsidRDefault="008E45F8" w:rsidP="008E45F8">
            <w:pPr>
              <w:numPr>
                <w:ilvl w:val="0"/>
                <w:numId w:val="7"/>
              </w:numPr>
              <w:spacing w:after="120" w:line="240" w:lineRule="auto"/>
              <w:contextualSpacing/>
              <w:jc w:val="both"/>
              <w:rPr>
                <w:sz w:val="18"/>
              </w:rPr>
            </w:pPr>
            <w:r w:rsidRPr="0082045E">
              <w:rPr>
                <w:sz w:val="18"/>
              </w:rPr>
              <w:t>Preopterećenost postojećih ljudskih kapaciteta.</w:t>
            </w:r>
          </w:p>
          <w:p w:rsidR="008E45F8" w:rsidRPr="002019F6" w:rsidRDefault="008E45F8" w:rsidP="00E0611F">
            <w:pPr>
              <w:ind w:left="360"/>
              <w:contextualSpacing/>
              <w:rPr>
                <w:sz w:val="18"/>
              </w:rPr>
            </w:pPr>
          </w:p>
        </w:tc>
      </w:tr>
      <w:tr w:rsidR="008E45F8" w:rsidRPr="002019F6" w:rsidTr="00E0611F">
        <w:trPr>
          <w:cantSplit/>
          <w:trHeight w:val="1134"/>
        </w:trPr>
        <w:tc>
          <w:tcPr>
            <w:tcW w:w="534" w:type="dxa"/>
            <w:textDirection w:val="btLr"/>
          </w:tcPr>
          <w:p w:rsidR="008E45F8" w:rsidRPr="002019F6" w:rsidRDefault="008E45F8" w:rsidP="00E0611F">
            <w:pPr>
              <w:spacing w:after="0"/>
              <w:ind w:left="113" w:right="113"/>
              <w:jc w:val="center"/>
              <w:rPr>
                <w:b/>
                <w:bCs/>
                <w:sz w:val="14"/>
              </w:rPr>
            </w:pPr>
            <w:r w:rsidRPr="002019F6">
              <w:rPr>
                <w:b/>
                <w:bCs/>
                <w:sz w:val="14"/>
              </w:rPr>
              <w:lastRenderedPageBreak/>
              <w:t>Rezultati rada</w:t>
            </w:r>
          </w:p>
        </w:tc>
        <w:tc>
          <w:tcPr>
            <w:tcW w:w="4423" w:type="dxa"/>
          </w:tcPr>
          <w:p w:rsidR="008E45F8" w:rsidRPr="00D9015F" w:rsidRDefault="008E45F8" w:rsidP="008E45F8">
            <w:pPr>
              <w:numPr>
                <w:ilvl w:val="0"/>
                <w:numId w:val="8"/>
              </w:numPr>
              <w:spacing w:after="120" w:line="240" w:lineRule="auto"/>
              <w:contextualSpacing/>
              <w:jc w:val="both"/>
              <w:rPr>
                <w:sz w:val="18"/>
              </w:rPr>
            </w:pPr>
            <w:r w:rsidRPr="00D9015F">
              <w:rPr>
                <w:sz w:val="18"/>
              </w:rPr>
              <w:t>Izvšavanje zadataka u skladnu sa rokovima,</w:t>
            </w:r>
          </w:p>
          <w:p w:rsidR="008E45F8" w:rsidRPr="00D9015F" w:rsidRDefault="008E45F8" w:rsidP="008E45F8">
            <w:pPr>
              <w:numPr>
                <w:ilvl w:val="0"/>
                <w:numId w:val="8"/>
              </w:numPr>
              <w:spacing w:after="120" w:line="240" w:lineRule="auto"/>
              <w:contextualSpacing/>
              <w:jc w:val="both"/>
              <w:rPr>
                <w:sz w:val="18"/>
              </w:rPr>
            </w:pPr>
            <w:r w:rsidRPr="00D9015F">
              <w:rPr>
                <w:sz w:val="18"/>
              </w:rPr>
              <w:t>Kontinuirana podrška ugovornim organima i ponuđačima,</w:t>
            </w:r>
          </w:p>
          <w:p w:rsidR="008E45F8" w:rsidRPr="00D9015F" w:rsidRDefault="008E45F8" w:rsidP="008E45F8">
            <w:pPr>
              <w:numPr>
                <w:ilvl w:val="0"/>
                <w:numId w:val="8"/>
              </w:numPr>
              <w:spacing w:after="120" w:line="240" w:lineRule="auto"/>
              <w:contextualSpacing/>
              <w:jc w:val="both"/>
              <w:rPr>
                <w:sz w:val="18"/>
              </w:rPr>
            </w:pPr>
            <w:r w:rsidRPr="00D9015F">
              <w:rPr>
                <w:sz w:val="18"/>
              </w:rPr>
              <w:t>Kontinuirana komunikacija i dostavljanje odgovora strankama,</w:t>
            </w:r>
          </w:p>
          <w:p w:rsidR="008E45F8" w:rsidRDefault="008E45F8" w:rsidP="008E45F8">
            <w:pPr>
              <w:numPr>
                <w:ilvl w:val="0"/>
                <w:numId w:val="8"/>
              </w:numPr>
              <w:spacing w:after="120" w:line="240" w:lineRule="auto"/>
              <w:contextualSpacing/>
              <w:jc w:val="both"/>
              <w:rPr>
                <w:sz w:val="18"/>
              </w:rPr>
            </w:pPr>
            <w:r w:rsidRPr="00D9015F">
              <w:rPr>
                <w:sz w:val="18"/>
              </w:rPr>
              <w:t>Razvijen portal javnih nabavki,</w:t>
            </w:r>
          </w:p>
          <w:p w:rsidR="008E45F8" w:rsidRPr="00D9015F" w:rsidRDefault="008E45F8" w:rsidP="008E45F8">
            <w:pPr>
              <w:numPr>
                <w:ilvl w:val="0"/>
                <w:numId w:val="8"/>
              </w:numPr>
              <w:spacing w:after="120" w:line="240" w:lineRule="auto"/>
              <w:contextualSpacing/>
              <w:jc w:val="both"/>
              <w:rPr>
                <w:sz w:val="18"/>
              </w:rPr>
            </w:pPr>
            <w:r w:rsidRPr="00D9015F">
              <w:rPr>
                <w:sz w:val="18"/>
              </w:rPr>
              <w:t>Efikasno i racionalno korištenje odobrenih budžetskih sredstava.</w:t>
            </w:r>
          </w:p>
        </w:tc>
        <w:tc>
          <w:tcPr>
            <w:tcW w:w="4536" w:type="dxa"/>
          </w:tcPr>
          <w:p w:rsidR="008E45F8" w:rsidRPr="002019F6" w:rsidRDefault="008E45F8" w:rsidP="008E45F8">
            <w:pPr>
              <w:numPr>
                <w:ilvl w:val="0"/>
                <w:numId w:val="9"/>
              </w:numPr>
              <w:spacing w:after="120" w:line="240" w:lineRule="auto"/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 xml:space="preserve">Ograničeni finansijski resursi koji su neophodni za ostvarivanje Zakonom utvrđenih nadležnosti,  </w:t>
            </w:r>
          </w:p>
          <w:p w:rsidR="008E45F8" w:rsidRPr="00D9015F" w:rsidRDefault="008E45F8" w:rsidP="008E45F8">
            <w:pPr>
              <w:numPr>
                <w:ilvl w:val="0"/>
                <w:numId w:val="9"/>
              </w:numPr>
              <w:spacing w:after="120" w:line="240" w:lineRule="auto"/>
              <w:contextualSpacing/>
              <w:jc w:val="both"/>
              <w:rPr>
                <w:sz w:val="18"/>
              </w:rPr>
            </w:pPr>
            <w:r w:rsidRPr="00D9015F">
              <w:rPr>
                <w:sz w:val="18"/>
              </w:rPr>
              <w:t>Ne postojanje kadrova za upravljanje ljudskim resursima i međunarodnu saradnju.</w:t>
            </w:r>
          </w:p>
          <w:p w:rsidR="008E45F8" w:rsidRPr="002019F6" w:rsidRDefault="008E45F8" w:rsidP="00E0611F">
            <w:pPr>
              <w:ind w:left="360"/>
              <w:contextualSpacing/>
              <w:rPr>
                <w:sz w:val="18"/>
              </w:rPr>
            </w:pPr>
          </w:p>
        </w:tc>
      </w:tr>
    </w:tbl>
    <w:p w:rsidR="008E45F8" w:rsidRDefault="008E45F8" w:rsidP="00DC72FB">
      <w:pPr>
        <w:jc w:val="both"/>
        <w:rPr>
          <w:bCs/>
          <w:sz w:val="24"/>
          <w:szCs w:val="24"/>
        </w:rPr>
      </w:pPr>
    </w:p>
    <w:p w:rsidR="008E45F8" w:rsidRDefault="00E4394B" w:rsidP="00DC72FB">
      <w:pPr>
        <w:jc w:val="both"/>
        <w:rPr>
          <w:bCs/>
          <w:sz w:val="24"/>
          <w:szCs w:val="24"/>
        </w:rPr>
      </w:pPr>
      <w:r w:rsidRPr="00E4394B">
        <w:rPr>
          <w:bCs/>
          <w:sz w:val="24"/>
          <w:szCs w:val="24"/>
        </w:rPr>
        <w:t xml:space="preserve">Tabela 2. Analiza vanjskih faktora koji utiču na </w:t>
      </w:r>
      <w:r>
        <w:rPr>
          <w:bCs/>
          <w:sz w:val="24"/>
          <w:szCs w:val="24"/>
        </w:rPr>
        <w:t>Agenciju.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423"/>
        <w:gridCol w:w="4536"/>
      </w:tblGrid>
      <w:tr w:rsidR="00E4394B" w:rsidRPr="00E4394B" w:rsidTr="00E0611F">
        <w:trPr>
          <w:cantSplit/>
          <w:trHeight w:val="413"/>
        </w:trPr>
        <w:tc>
          <w:tcPr>
            <w:tcW w:w="534" w:type="dxa"/>
            <w:tcBorders>
              <w:bottom w:val="single" w:sz="4" w:space="0" w:color="000000"/>
            </w:tcBorders>
            <w:shd w:val="clear" w:color="auto" w:fill="C6D9F1"/>
            <w:textDirection w:val="btLr"/>
          </w:tcPr>
          <w:p w:rsidR="00E4394B" w:rsidRPr="00E4394B" w:rsidRDefault="00E4394B" w:rsidP="00E4394B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Cambria"/>
                <w:i/>
                <w:iCs/>
                <w:sz w:val="18"/>
                <w:szCs w:val="20"/>
                <w:lang w:val="hr-BA" w:eastAsia="de-DE"/>
              </w:rPr>
            </w:pPr>
          </w:p>
        </w:tc>
        <w:tc>
          <w:tcPr>
            <w:tcW w:w="4423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:rsidR="00E4394B" w:rsidRPr="00E4394B" w:rsidRDefault="00E4394B" w:rsidP="00E4394B">
            <w:pPr>
              <w:spacing w:after="0" w:line="240" w:lineRule="auto"/>
              <w:jc w:val="center"/>
              <w:rPr>
                <w:rFonts w:ascii="Cambria" w:eastAsia="Times New Roman" w:hAnsi="Cambria" w:cs="Cambria"/>
                <w:i/>
                <w:iCs/>
                <w:sz w:val="18"/>
                <w:szCs w:val="20"/>
                <w:lang w:val="hr-BA" w:eastAsia="de-DE"/>
              </w:rPr>
            </w:pPr>
            <w:r w:rsidRPr="00E4394B">
              <w:rPr>
                <w:rFonts w:ascii="Cambria" w:eastAsia="Times New Roman" w:hAnsi="Cambria" w:cs="Cambria"/>
                <w:b/>
                <w:bCs/>
                <w:sz w:val="18"/>
                <w:szCs w:val="20"/>
                <w:lang w:val="hr-BA" w:eastAsia="de-DE"/>
              </w:rPr>
              <w:t>Analiza PRILIKA za Agenciju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:rsidR="00E4394B" w:rsidRPr="00E4394B" w:rsidRDefault="00E4394B" w:rsidP="00E4394B">
            <w:pPr>
              <w:spacing w:after="0" w:line="240" w:lineRule="auto"/>
              <w:jc w:val="center"/>
              <w:rPr>
                <w:rFonts w:ascii="Cambria" w:eastAsia="Times New Roman" w:hAnsi="Cambria" w:cs="Cambria"/>
                <w:i/>
                <w:iCs/>
                <w:sz w:val="18"/>
                <w:szCs w:val="20"/>
                <w:lang w:val="hr-BA" w:eastAsia="de-DE"/>
              </w:rPr>
            </w:pPr>
            <w:r w:rsidRPr="00E4394B">
              <w:rPr>
                <w:rFonts w:ascii="Cambria" w:eastAsia="Times New Roman" w:hAnsi="Cambria" w:cs="Cambria"/>
                <w:b/>
                <w:bCs/>
                <w:sz w:val="18"/>
                <w:szCs w:val="20"/>
                <w:lang w:val="hr-BA" w:eastAsia="de-DE"/>
              </w:rPr>
              <w:t>Analiza PRIJETNJI za Agenciju</w:t>
            </w:r>
          </w:p>
        </w:tc>
      </w:tr>
      <w:tr w:rsidR="00E4394B" w:rsidRPr="00E4394B" w:rsidTr="00E0611F">
        <w:trPr>
          <w:cantSplit/>
          <w:trHeight w:val="413"/>
        </w:trPr>
        <w:tc>
          <w:tcPr>
            <w:tcW w:w="534" w:type="dxa"/>
            <w:textDirection w:val="btLr"/>
          </w:tcPr>
          <w:p w:rsidR="00E4394B" w:rsidRPr="00E4394B" w:rsidRDefault="00E4394B" w:rsidP="00E4394B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Cambria"/>
                <w:b/>
                <w:bCs/>
                <w:sz w:val="14"/>
                <w:szCs w:val="20"/>
                <w:lang w:val="hr-BA" w:eastAsia="de-DE"/>
              </w:rPr>
            </w:pPr>
            <w:r w:rsidRPr="00E4394B">
              <w:rPr>
                <w:rFonts w:ascii="Cambria" w:eastAsia="Times New Roman" w:hAnsi="Cambria" w:cs="Cambria"/>
                <w:b/>
                <w:bCs/>
                <w:sz w:val="14"/>
                <w:szCs w:val="20"/>
                <w:lang w:val="hr-BA" w:eastAsia="de-DE"/>
              </w:rPr>
              <w:t>Političke</w:t>
            </w:r>
          </w:p>
          <w:p w:rsidR="00E4394B" w:rsidRPr="00E4394B" w:rsidRDefault="00E4394B" w:rsidP="00E4394B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Cambria"/>
                <w:sz w:val="14"/>
                <w:szCs w:val="20"/>
                <w:lang w:val="hr-BA" w:eastAsia="de-DE"/>
              </w:rPr>
            </w:pPr>
          </w:p>
          <w:p w:rsidR="00E4394B" w:rsidRPr="00E4394B" w:rsidRDefault="00E4394B" w:rsidP="00E4394B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Cambria"/>
                <w:b/>
                <w:bCs/>
                <w:sz w:val="14"/>
                <w:szCs w:val="20"/>
                <w:lang w:val="hr-BA" w:eastAsia="de-DE"/>
              </w:rPr>
            </w:pPr>
          </w:p>
        </w:tc>
        <w:tc>
          <w:tcPr>
            <w:tcW w:w="4423" w:type="dxa"/>
          </w:tcPr>
          <w:p w:rsidR="00E4394B" w:rsidRPr="00E4394B" w:rsidRDefault="00E4394B" w:rsidP="00E4394B">
            <w:pPr>
              <w:numPr>
                <w:ilvl w:val="0"/>
                <w:numId w:val="18"/>
              </w:numPr>
              <w:spacing w:after="120" w:line="240" w:lineRule="auto"/>
              <w:contextualSpacing/>
              <w:jc w:val="both"/>
              <w:rPr>
                <w:rFonts w:ascii="Cambria" w:eastAsia="Times New Roman" w:hAnsi="Cambria" w:cs="Cambria"/>
                <w:sz w:val="18"/>
                <w:szCs w:val="24"/>
                <w:lang w:val="hr-BA" w:eastAsia="de-DE"/>
              </w:rPr>
            </w:pPr>
            <w:r w:rsidRPr="00E4394B">
              <w:rPr>
                <w:rFonts w:ascii="Cambria" w:eastAsia="Times New Roman" w:hAnsi="Cambria" w:cs="Cambria"/>
                <w:sz w:val="18"/>
                <w:szCs w:val="24"/>
                <w:lang w:val="hr-BA" w:eastAsia="de-DE"/>
              </w:rPr>
              <w:t>Proces pridruživanja Evropskoj uniji i IPA II ,</w:t>
            </w:r>
          </w:p>
          <w:p w:rsidR="00E4394B" w:rsidRPr="00E4394B" w:rsidRDefault="00E4394B" w:rsidP="00E4394B">
            <w:pPr>
              <w:numPr>
                <w:ilvl w:val="0"/>
                <w:numId w:val="18"/>
              </w:numPr>
              <w:spacing w:after="120" w:line="240" w:lineRule="auto"/>
              <w:contextualSpacing/>
              <w:jc w:val="both"/>
              <w:rPr>
                <w:rFonts w:ascii="Cambria" w:eastAsia="Times New Roman" w:hAnsi="Cambria" w:cs="Cambria"/>
                <w:sz w:val="18"/>
                <w:szCs w:val="24"/>
                <w:lang w:val="hr-BA" w:eastAsia="de-DE"/>
              </w:rPr>
            </w:pPr>
            <w:r w:rsidRPr="00E4394B">
              <w:rPr>
                <w:rFonts w:ascii="Cambria" w:eastAsia="Times New Roman" w:hAnsi="Cambria" w:cs="Cambria"/>
                <w:sz w:val="18"/>
                <w:szCs w:val="24"/>
                <w:lang w:val="hr-BA" w:eastAsia="de-DE"/>
              </w:rPr>
              <w:t>Okruženje,</w:t>
            </w:r>
          </w:p>
          <w:p w:rsidR="00E4394B" w:rsidRPr="00E4394B" w:rsidRDefault="00E4394B" w:rsidP="00E4394B">
            <w:pPr>
              <w:numPr>
                <w:ilvl w:val="0"/>
                <w:numId w:val="18"/>
              </w:numPr>
              <w:spacing w:after="120" w:line="240" w:lineRule="auto"/>
              <w:contextualSpacing/>
              <w:jc w:val="both"/>
              <w:rPr>
                <w:rFonts w:ascii="Cambria" w:eastAsia="Times New Roman" w:hAnsi="Cambria" w:cs="Cambria"/>
                <w:sz w:val="18"/>
                <w:szCs w:val="24"/>
                <w:lang w:val="hr-BA" w:eastAsia="de-DE"/>
              </w:rPr>
            </w:pPr>
            <w:r w:rsidRPr="00E4394B">
              <w:rPr>
                <w:rFonts w:ascii="Cambria" w:eastAsia="Times New Roman" w:hAnsi="Cambria" w:cs="Cambria"/>
                <w:sz w:val="18"/>
                <w:szCs w:val="24"/>
                <w:lang w:val="hr-BA" w:eastAsia="de-DE"/>
              </w:rPr>
              <w:t>Politički ambijent.</w:t>
            </w:r>
          </w:p>
        </w:tc>
        <w:tc>
          <w:tcPr>
            <w:tcW w:w="4536" w:type="dxa"/>
          </w:tcPr>
          <w:p w:rsidR="00E4394B" w:rsidRPr="00E4394B" w:rsidRDefault="00E4394B" w:rsidP="00E4394B">
            <w:pPr>
              <w:numPr>
                <w:ilvl w:val="0"/>
                <w:numId w:val="19"/>
              </w:numPr>
              <w:spacing w:after="120" w:line="240" w:lineRule="auto"/>
              <w:contextualSpacing/>
              <w:jc w:val="both"/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</w:pPr>
            <w:r w:rsidRPr="00E4394B"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  <w:t>Nedostatak političke volje za harmonizaciju propisa sa direktivama EU kao i propisa na nivou BiH, entiteta, BD i kantona.</w:t>
            </w:r>
          </w:p>
          <w:p w:rsidR="00E4394B" w:rsidRPr="00E4394B" w:rsidRDefault="00E4394B" w:rsidP="00E4394B">
            <w:pPr>
              <w:spacing w:after="120" w:line="240" w:lineRule="auto"/>
              <w:contextualSpacing/>
              <w:jc w:val="both"/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</w:pPr>
          </w:p>
        </w:tc>
      </w:tr>
      <w:tr w:rsidR="00E4394B" w:rsidRPr="00E4394B" w:rsidTr="00E0611F">
        <w:trPr>
          <w:cantSplit/>
          <w:trHeight w:val="413"/>
        </w:trPr>
        <w:tc>
          <w:tcPr>
            <w:tcW w:w="534" w:type="dxa"/>
            <w:textDirection w:val="btLr"/>
          </w:tcPr>
          <w:p w:rsidR="00E4394B" w:rsidRPr="00E4394B" w:rsidRDefault="00E4394B" w:rsidP="00E4394B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Cambria"/>
                <w:sz w:val="14"/>
                <w:szCs w:val="20"/>
                <w:lang w:val="hr-BA" w:eastAsia="de-DE"/>
              </w:rPr>
            </w:pPr>
            <w:r w:rsidRPr="00E4394B">
              <w:rPr>
                <w:rFonts w:ascii="Cambria" w:eastAsia="Times New Roman" w:hAnsi="Cambria" w:cs="Cambria"/>
                <w:b/>
                <w:bCs/>
                <w:sz w:val="14"/>
                <w:szCs w:val="20"/>
                <w:lang w:val="hr-BA" w:eastAsia="de-DE"/>
              </w:rPr>
              <w:t>Ekonomske</w:t>
            </w:r>
          </w:p>
          <w:p w:rsidR="00E4394B" w:rsidRPr="00E4394B" w:rsidRDefault="00E4394B" w:rsidP="00E4394B">
            <w:pPr>
              <w:spacing w:after="0" w:line="240" w:lineRule="auto"/>
              <w:ind w:left="113" w:right="-108"/>
              <w:jc w:val="center"/>
              <w:rPr>
                <w:rFonts w:ascii="Cambria" w:eastAsia="Times New Roman" w:hAnsi="Cambria" w:cs="Cambria"/>
                <w:sz w:val="14"/>
                <w:szCs w:val="20"/>
                <w:lang w:val="hr-BA" w:eastAsia="de-DE"/>
              </w:rPr>
            </w:pPr>
          </w:p>
        </w:tc>
        <w:tc>
          <w:tcPr>
            <w:tcW w:w="4423" w:type="dxa"/>
          </w:tcPr>
          <w:p w:rsidR="00E4394B" w:rsidRPr="00E4394B" w:rsidRDefault="00E4394B" w:rsidP="00E4394B">
            <w:pPr>
              <w:numPr>
                <w:ilvl w:val="0"/>
                <w:numId w:val="16"/>
              </w:numPr>
              <w:spacing w:after="120" w:line="240" w:lineRule="auto"/>
              <w:contextualSpacing/>
              <w:jc w:val="both"/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</w:pPr>
            <w:r w:rsidRPr="00E4394B"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  <w:t>Redovno finansiranje kroz Budžet</w:t>
            </w:r>
          </w:p>
          <w:p w:rsidR="00E4394B" w:rsidRPr="00E4394B" w:rsidRDefault="00E4394B" w:rsidP="00E4394B">
            <w:pPr>
              <w:numPr>
                <w:ilvl w:val="0"/>
                <w:numId w:val="16"/>
              </w:numPr>
              <w:spacing w:after="120" w:line="240" w:lineRule="auto"/>
              <w:contextualSpacing/>
              <w:jc w:val="both"/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</w:pPr>
            <w:r w:rsidRPr="00E4394B"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  <w:t>Obezbjeđena sredstva iz IPA II fondova,</w:t>
            </w:r>
          </w:p>
          <w:p w:rsidR="00E4394B" w:rsidRPr="00E4394B" w:rsidRDefault="00E4394B" w:rsidP="00E4394B">
            <w:pPr>
              <w:numPr>
                <w:ilvl w:val="0"/>
                <w:numId w:val="16"/>
              </w:numPr>
              <w:spacing w:after="120" w:line="240" w:lineRule="auto"/>
              <w:contextualSpacing/>
              <w:jc w:val="both"/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</w:pPr>
            <w:r w:rsidRPr="00E4394B"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  <w:t>Obezbjeđena srdstva iz GIZ Programa pomoći,</w:t>
            </w:r>
          </w:p>
          <w:p w:rsidR="00E4394B" w:rsidRPr="00E4394B" w:rsidRDefault="00E4394B" w:rsidP="00E4394B">
            <w:pPr>
              <w:numPr>
                <w:ilvl w:val="0"/>
                <w:numId w:val="16"/>
              </w:numPr>
              <w:spacing w:after="120" w:line="240" w:lineRule="auto"/>
              <w:contextualSpacing/>
              <w:jc w:val="both"/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</w:pPr>
            <w:r w:rsidRPr="00E4394B"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  <w:t>Saradnja sa WB i EBRD.</w:t>
            </w:r>
          </w:p>
        </w:tc>
        <w:tc>
          <w:tcPr>
            <w:tcW w:w="4536" w:type="dxa"/>
          </w:tcPr>
          <w:p w:rsidR="00E4394B" w:rsidRPr="00E4394B" w:rsidRDefault="00E4394B" w:rsidP="00E4394B">
            <w:pPr>
              <w:numPr>
                <w:ilvl w:val="0"/>
                <w:numId w:val="17"/>
              </w:numPr>
              <w:spacing w:after="120" w:line="240" w:lineRule="auto"/>
              <w:contextualSpacing/>
              <w:jc w:val="both"/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</w:pPr>
            <w:r w:rsidRPr="00E4394B"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  <w:t>Nepostojanje razvojinih strategija,</w:t>
            </w:r>
          </w:p>
          <w:p w:rsidR="00E4394B" w:rsidRPr="00E4394B" w:rsidRDefault="00E4394B" w:rsidP="00E4394B">
            <w:pPr>
              <w:numPr>
                <w:ilvl w:val="0"/>
                <w:numId w:val="17"/>
              </w:numPr>
              <w:spacing w:after="120" w:line="240" w:lineRule="auto"/>
              <w:contextualSpacing/>
              <w:jc w:val="both"/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</w:pPr>
            <w:r w:rsidRPr="00E4394B"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  <w:t>Nedostatak finansijskih sredstava za kadrovsko popunjavanje,</w:t>
            </w:r>
          </w:p>
          <w:p w:rsidR="00E4394B" w:rsidRPr="00E4394B" w:rsidRDefault="00E4394B" w:rsidP="00E4394B">
            <w:pPr>
              <w:numPr>
                <w:ilvl w:val="0"/>
                <w:numId w:val="17"/>
              </w:numPr>
              <w:spacing w:after="120" w:line="240" w:lineRule="auto"/>
              <w:contextualSpacing/>
              <w:jc w:val="both"/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</w:pPr>
            <w:r w:rsidRPr="00E4394B"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  <w:t>Nedostatak finansijskih sredstava za finansiranje razvojnih projekata,</w:t>
            </w:r>
          </w:p>
          <w:p w:rsidR="00E4394B" w:rsidRPr="00E4394B" w:rsidRDefault="00E4394B" w:rsidP="00E4394B">
            <w:pPr>
              <w:numPr>
                <w:ilvl w:val="0"/>
                <w:numId w:val="17"/>
              </w:numPr>
              <w:spacing w:after="120" w:line="240" w:lineRule="auto"/>
              <w:contextualSpacing/>
              <w:jc w:val="both"/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</w:pPr>
            <w:r w:rsidRPr="00E4394B"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  <w:t>Neusvajanje budžeta za tekuću godinu.</w:t>
            </w:r>
          </w:p>
        </w:tc>
      </w:tr>
      <w:tr w:rsidR="00E4394B" w:rsidRPr="00E4394B" w:rsidTr="00E0611F">
        <w:trPr>
          <w:cantSplit/>
          <w:trHeight w:val="1134"/>
        </w:trPr>
        <w:tc>
          <w:tcPr>
            <w:tcW w:w="534" w:type="dxa"/>
            <w:textDirection w:val="btLr"/>
          </w:tcPr>
          <w:p w:rsidR="00E4394B" w:rsidRPr="00E4394B" w:rsidRDefault="00E4394B" w:rsidP="00E4394B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Cambria"/>
                <w:b/>
                <w:bCs/>
                <w:sz w:val="14"/>
                <w:szCs w:val="20"/>
                <w:lang w:val="hr-BA" w:eastAsia="de-DE"/>
              </w:rPr>
            </w:pPr>
            <w:r w:rsidRPr="00E4394B">
              <w:rPr>
                <w:rFonts w:ascii="Cambria" w:eastAsia="Times New Roman" w:hAnsi="Cambria" w:cs="Cambria"/>
                <w:b/>
                <w:bCs/>
                <w:sz w:val="14"/>
                <w:szCs w:val="20"/>
                <w:lang w:val="hr-BA" w:eastAsia="de-DE"/>
              </w:rPr>
              <w:t>Socijalne i Društvene</w:t>
            </w:r>
          </w:p>
          <w:p w:rsidR="00E4394B" w:rsidRPr="00E4394B" w:rsidRDefault="00E4394B" w:rsidP="00E4394B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Cambria"/>
                <w:b/>
                <w:bCs/>
                <w:sz w:val="14"/>
                <w:szCs w:val="20"/>
                <w:lang w:val="hr-BA" w:eastAsia="de-DE"/>
              </w:rPr>
            </w:pPr>
          </w:p>
        </w:tc>
        <w:tc>
          <w:tcPr>
            <w:tcW w:w="4423" w:type="dxa"/>
          </w:tcPr>
          <w:p w:rsidR="00E4394B" w:rsidRPr="00E4394B" w:rsidRDefault="00E4394B" w:rsidP="00E4394B">
            <w:pPr>
              <w:numPr>
                <w:ilvl w:val="0"/>
                <w:numId w:val="10"/>
              </w:numPr>
              <w:spacing w:after="120" w:line="240" w:lineRule="auto"/>
              <w:contextualSpacing/>
              <w:jc w:val="both"/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</w:pPr>
            <w:r w:rsidRPr="00E4394B"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  <w:t>Saradnja sa svim učesnicima u sistemu javnih nabavki,</w:t>
            </w:r>
          </w:p>
          <w:p w:rsidR="00E4394B" w:rsidRPr="00E4394B" w:rsidRDefault="00E4394B" w:rsidP="00E4394B">
            <w:pPr>
              <w:numPr>
                <w:ilvl w:val="0"/>
                <w:numId w:val="10"/>
              </w:numPr>
              <w:spacing w:after="120" w:line="240" w:lineRule="auto"/>
              <w:contextualSpacing/>
              <w:jc w:val="both"/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</w:pPr>
            <w:r w:rsidRPr="00E4394B"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  <w:t>Saradnja sa NVO sektorom,</w:t>
            </w:r>
          </w:p>
          <w:p w:rsidR="00E4394B" w:rsidRPr="00E4394B" w:rsidRDefault="00E4394B" w:rsidP="00E4394B">
            <w:pPr>
              <w:numPr>
                <w:ilvl w:val="0"/>
                <w:numId w:val="10"/>
              </w:numPr>
              <w:spacing w:after="120" w:line="240" w:lineRule="auto"/>
              <w:contextualSpacing/>
              <w:jc w:val="both"/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</w:pPr>
            <w:r w:rsidRPr="00E4394B"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  <w:t>Suradnja sa međunarodnim i institucijama iz regije  iz oblasti javnih nabava,</w:t>
            </w:r>
          </w:p>
          <w:p w:rsidR="00E4394B" w:rsidRPr="00E4394B" w:rsidRDefault="00E4394B" w:rsidP="00E4394B">
            <w:pPr>
              <w:numPr>
                <w:ilvl w:val="0"/>
                <w:numId w:val="10"/>
              </w:numPr>
              <w:spacing w:after="120" w:line="240" w:lineRule="auto"/>
              <w:contextualSpacing/>
              <w:jc w:val="both"/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</w:pPr>
            <w:r w:rsidRPr="00E4394B"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  <w:t>Konsultacije sa meritornim institucijama i udruženjima oko  primjene propisa iz oblasti javnih nabava,</w:t>
            </w:r>
          </w:p>
          <w:p w:rsidR="00E4394B" w:rsidRPr="00E4394B" w:rsidRDefault="00E4394B" w:rsidP="00E4394B">
            <w:pPr>
              <w:numPr>
                <w:ilvl w:val="0"/>
                <w:numId w:val="10"/>
              </w:numPr>
              <w:spacing w:after="120" w:line="240" w:lineRule="auto"/>
              <w:contextualSpacing/>
              <w:jc w:val="both"/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</w:pPr>
            <w:r w:rsidRPr="00E4394B"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  <w:t>Konsultacije sa nevladinim sektorom oko primjene propisa u oblasti javnih nabavki.</w:t>
            </w:r>
          </w:p>
        </w:tc>
        <w:tc>
          <w:tcPr>
            <w:tcW w:w="4536" w:type="dxa"/>
          </w:tcPr>
          <w:p w:rsidR="00E4394B" w:rsidRPr="00E4394B" w:rsidRDefault="00E4394B" w:rsidP="00E4394B">
            <w:pPr>
              <w:numPr>
                <w:ilvl w:val="0"/>
                <w:numId w:val="11"/>
              </w:numPr>
              <w:spacing w:after="120" w:line="240" w:lineRule="auto"/>
              <w:contextualSpacing/>
              <w:jc w:val="both"/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</w:pPr>
            <w:r w:rsidRPr="00E4394B"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  <w:t>Pogrešna percepcija javnosti i NVO sektora,</w:t>
            </w:r>
          </w:p>
          <w:p w:rsidR="00E4394B" w:rsidRPr="00E4394B" w:rsidRDefault="00E4394B" w:rsidP="00E4394B">
            <w:pPr>
              <w:numPr>
                <w:ilvl w:val="0"/>
                <w:numId w:val="11"/>
              </w:numPr>
              <w:spacing w:after="120" w:line="240" w:lineRule="auto"/>
              <w:contextualSpacing/>
              <w:jc w:val="both"/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</w:pPr>
            <w:r w:rsidRPr="00E4394B"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  <w:t>Odlazak kvalitetnih i stručnih kadrova.</w:t>
            </w:r>
          </w:p>
          <w:p w:rsidR="00E4394B" w:rsidRPr="00E4394B" w:rsidRDefault="00E4394B" w:rsidP="00E4394B">
            <w:pPr>
              <w:spacing w:after="120" w:line="240" w:lineRule="auto"/>
              <w:contextualSpacing/>
              <w:jc w:val="both"/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</w:pPr>
          </w:p>
          <w:p w:rsidR="00E4394B" w:rsidRPr="00E4394B" w:rsidRDefault="00E4394B" w:rsidP="00E4394B">
            <w:pPr>
              <w:spacing w:after="0" w:line="240" w:lineRule="auto"/>
              <w:jc w:val="both"/>
              <w:rPr>
                <w:rFonts w:ascii="Cambria" w:eastAsia="Times New Roman" w:hAnsi="Cambria" w:cs="Cambria"/>
                <w:sz w:val="18"/>
                <w:szCs w:val="24"/>
                <w:lang w:val="hr-BA" w:eastAsia="de-DE"/>
              </w:rPr>
            </w:pPr>
          </w:p>
        </w:tc>
      </w:tr>
      <w:tr w:rsidR="00E4394B" w:rsidRPr="00E4394B" w:rsidTr="00E0611F">
        <w:trPr>
          <w:cantSplit/>
          <w:trHeight w:val="1134"/>
        </w:trPr>
        <w:tc>
          <w:tcPr>
            <w:tcW w:w="534" w:type="dxa"/>
            <w:textDirection w:val="btLr"/>
          </w:tcPr>
          <w:p w:rsidR="00E4394B" w:rsidRPr="00E4394B" w:rsidRDefault="00E4394B" w:rsidP="00E4394B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Cambria"/>
                <w:b/>
                <w:bCs/>
                <w:sz w:val="14"/>
                <w:szCs w:val="20"/>
                <w:lang w:val="hr-BA" w:eastAsia="de-DE"/>
              </w:rPr>
            </w:pPr>
            <w:r w:rsidRPr="00E4394B">
              <w:rPr>
                <w:rFonts w:ascii="Cambria" w:eastAsia="Times New Roman" w:hAnsi="Cambria" w:cs="Cambria"/>
                <w:b/>
                <w:bCs/>
                <w:sz w:val="14"/>
                <w:szCs w:val="20"/>
                <w:lang w:val="hr-BA" w:eastAsia="de-DE"/>
              </w:rPr>
              <w:t>Tehnološke</w:t>
            </w:r>
          </w:p>
          <w:p w:rsidR="00E4394B" w:rsidRPr="00E4394B" w:rsidRDefault="00E4394B" w:rsidP="00E4394B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Cambria"/>
                <w:b/>
                <w:bCs/>
                <w:sz w:val="14"/>
                <w:szCs w:val="20"/>
                <w:lang w:val="hr-BA" w:eastAsia="de-DE"/>
              </w:rPr>
            </w:pPr>
          </w:p>
        </w:tc>
        <w:tc>
          <w:tcPr>
            <w:tcW w:w="4423" w:type="dxa"/>
          </w:tcPr>
          <w:p w:rsidR="00E4394B" w:rsidRPr="00E4394B" w:rsidRDefault="00E4394B" w:rsidP="00E4394B">
            <w:pPr>
              <w:numPr>
                <w:ilvl w:val="0"/>
                <w:numId w:val="12"/>
              </w:numPr>
              <w:spacing w:after="120" w:line="240" w:lineRule="auto"/>
              <w:contextualSpacing/>
              <w:jc w:val="both"/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</w:pPr>
            <w:r w:rsidRPr="00E4394B"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  <w:t>Help desk za pravnu i tehničku pomoć,</w:t>
            </w:r>
          </w:p>
          <w:p w:rsidR="00E4394B" w:rsidRPr="00E4394B" w:rsidRDefault="00E4394B" w:rsidP="00E4394B">
            <w:pPr>
              <w:numPr>
                <w:ilvl w:val="0"/>
                <w:numId w:val="12"/>
              </w:numPr>
              <w:spacing w:after="120" w:line="240" w:lineRule="auto"/>
              <w:contextualSpacing/>
              <w:jc w:val="both"/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</w:pPr>
            <w:r w:rsidRPr="00E4394B"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  <w:t>Korištenje postojećih informacionih sistema,</w:t>
            </w:r>
          </w:p>
          <w:p w:rsidR="00E4394B" w:rsidRPr="00E4394B" w:rsidRDefault="00E4394B" w:rsidP="00E4394B">
            <w:pPr>
              <w:numPr>
                <w:ilvl w:val="0"/>
                <w:numId w:val="12"/>
              </w:numPr>
              <w:spacing w:after="120" w:line="240" w:lineRule="auto"/>
              <w:contextualSpacing/>
              <w:jc w:val="both"/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</w:pPr>
            <w:r w:rsidRPr="00E4394B"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  <w:t>Kvalitetno održavanje ICT opreme,</w:t>
            </w:r>
          </w:p>
          <w:p w:rsidR="00E4394B" w:rsidRPr="00E4394B" w:rsidRDefault="00E4394B" w:rsidP="00E4394B">
            <w:pPr>
              <w:numPr>
                <w:ilvl w:val="0"/>
                <w:numId w:val="12"/>
              </w:numPr>
              <w:spacing w:after="120" w:line="240" w:lineRule="auto"/>
              <w:contextualSpacing/>
              <w:jc w:val="both"/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</w:pPr>
            <w:r w:rsidRPr="00E4394B"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  <w:t>Razvoj servisa za podršku procesa elektronskih javnih nabavki.</w:t>
            </w:r>
          </w:p>
          <w:p w:rsidR="00E4394B" w:rsidRPr="00E4394B" w:rsidRDefault="00E4394B" w:rsidP="00E4394B">
            <w:pPr>
              <w:spacing w:after="120" w:line="240" w:lineRule="auto"/>
              <w:contextualSpacing/>
              <w:jc w:val="both"/>
              <w:rPr>
                <w:rFonts w:ascii="Cambria" w:eastAsia="Times New Roman" w:hAnsi="Cambria" w:cs="Cambria"/>
                <w:sz w:val="18"/>
                <w:szCs w:val="24"/>
                <w:lang w:val="hr-BA" w:eastAsia="de-DE"/>
              </w:rPr>
            </w:pPr>
          </w:p>
        </w:tc>
        <w:tc>
          <w:tcPr>
            <w:tcW w:w="4536" w:type="dxa"/>
          </w:tcPr>
          <w:p w:rsidR="00E4394B" w:rsidRPr="00E4394B" w:rsidRDefault="00E4394B" w:rsidP="00E4394B">
            <w:pPr>
              <w:numPr>
                <w:ilvl w:val="0"/>
                <w:numId w:val="13"/>
              </w:numPr>
              <w:spacing w:after="120" w:line="240" w:lineRule="auto"/>
              <w:contextualSpacing/>
              <w:jc w:val="both"/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</w:pPr>
            <w:r w:rsidRPr="00E4394B"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  <w:t>Nepostojanje jedinstvenih registara poslovnih i privrednih subjekata u BiH,</w:t>
            </w:r>
          </w:p>
          <w:p w:rsidR="00E4394B" w:rsidRPr="00E4394B" w:rsidRDefault="00E4394B" w:rsidP="00E4394B">
            <w:pPr>
              <w:numPr>
                <w:ilvl w:val="0"/>
                <w:numId w:val="13"/>
              </w:numPr>
              <w:spacing w:after="120" w:line="240" w:lineRule="auto"/>
              <w:contextualSpacing/>
              <w:jc w:val="both"/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</w:pPr>
            <w:r w:rsidRPr="00E4394B"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  <w:t>Ne uvezanost postojećih registara u BiH,</w:t>
            </w:r>
          </w:p>
          <w:p w:rsidR="00E4394B" w:rsidRPr="00E4394B" w:rsidRDefault="00E4394B" w:rsidP="00E4394B">
            <w:pPr>
              <w:numPr>
                <w:ilvl w:val="0"/>
                <w:numId w:val="13"/>
              </w:numPr>
              <w:spacing w:after="120" w:line="240" w:lineRule="auto"/>
              <w:contextualSpacing/>
              <w:jc w:val="both"/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</w:pPr>
            <w:r w:rsidRPr="00E4394B"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  <w:t>Nepostojanje subjekata za certificiranje elektronskog potpisa.</w:t>
            </w:r>
          </w:p>
        </w:tc>
      </w:tr>
      <w:tr w:rsidR="00E4394B" w:rsidRPr="00E4394B" w:rsidTr="00E0611F">
        <w:trPr>
          <w:cantSplit/>
          <w:trHeight w:val="1099"/>
        </w:trPr>
        <w:tc>
          <w:tcPr>
            <w:tcW w:w="534" w:type="dxa"/>
            <w:textDirection w:val="btLr"/>
          </w:tcPr>
          <w:p w:rsidR="00E4394B" w:rsidRPr="00E4394B" w:rsidRDefault="00E4394B" w:rsidP="00E4394B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Cambria"/>
                <w:b/>
                <w:bCs/>
                <w:sz w:val="14"/>
                <w:szCs w:val="20"/>
                <w:lang w:val="hr-BA" w:eastAsia="de-DE"/>
              </w:rPr>
            </w:pPr>
            <w:r w:rsidRPr="00E4394B">
              <w:rPr>
                <w:rFonts w:ascii="Cambria" w:eastAsia="Times New Roman" w:hAnsi="Cambria" w:cs="Cambria"/>
                <w:b/>
                <w:bCs/>
                <w:sz w:val="14"/>
                <w:szCs w:val="20"/>
                <w:lang w:val="hr-BA" w:eastAsia="de-DE"/>
              </w:rPr>
              <w:t>Pravne</w:t>
            </w:r>
          </w:p>
          <w:p w:rsidR="00E4394B" w:rsidRPr="00E4394B" w:rsidRDefault="00E4394B" w:rsidP="00E4394B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Cambria"/>
                <w:b/>
                <w:bCs/>
                <w:sz w:val="14"/>
                <w:szCs w:val="20"/>
                <w:lang w:val="hr-BA" w:eastAsia="de-DE"/>
              </w:rPr>
            </w:pPr>
          </w:p>
        </w:tc>
        <w:tc>
          <w:tcPr>
            <w:tcW w:w="4423" w:type="dxa"/>
          </w:tcPr>
          <w:p w:rsidR="00E4394B" w:rsidRPr="00E4394B" w:rsidRDefault="00E4394B" w:rsidP="00E4394B">
            <w:pPr>
              <w:numPr>
                <w:ilvl w:val="0"/>
                <w:numId w:val="14"/>
              </w:numPr>
              <w:spacing w:after="120" w:line="240" w:lineRule="auto"/>
              <w:contextualSpacing/>
              <w:jc w:val="both"/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</w:pPr>
            <w:r w:rsidRPr="00E4394B"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  <w:t>Priprema i izrada nacrta zakona, nacrta izmjena i dopuna zakona i pratećih podzakonskih akata, u svrhu obezbjeđenja njihove djelotvornosti i svrsishodnosti,</w:t>
            </w:r>
          </w:p>
          <w:p w:rsidR="00E4394B" w:rsidRPr="00E4394B" w:rsidRDefault="00E4394B" w:rsidP="00E4394B">
            <w:pPr>
              <w:numPr>
                <w:ilvl w:val="0"/>
                <w:numId w:val="14"/>
              </w:numPr>
              <w:spacing w:after="120" w:line="240" w:lineRule="auto"/>
              <w:contextualSpacing/>
              <w:jc w:val="both"/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</w:pPr>
            <w:r w:rsidRPr="00E4394B"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  <w:t>Izrada priručnika za praktičnu primjenu,</w:t>
            </w:r>
          </w:p>
          <w:p w:rsidR="00E4394B" w:rsidRPr="00E4394B" w:rsidRDefault="00E4394B" w:rsidP="00E4394B">
            <w:pPr>
              <w:numPr>
                <w:ilvl w:val="0"/>
                <w:numId w:val="14"/>
              </w:numPr>
              <w:spacing w:after="120" w:line="240" w:lineRule="auto"/>
              <w:contextualSpacing/>
              <w:jc w:val="both"/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</w:pPr>
            <w:r w:rsidRPr="00E4394B"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  <w:t>Implementacija postojećeg zakonskog i podzakonskog okvira u cilju najefikasnijeg korištenja javnih sredstava.</w:t>
            </w:r>
          </w:p>
          <w:p w:rsidR="00E4394B" w:rsidRPr="00E4394B" w:rsidRDefault="00E4394B" w:rsidP="00E4394B">
            <w:pPr>
              <w:spacing w:after="120" w:line="240" w:lineRule="auto"/>
              <w:contextualSpacing/>
              <w:jc w:val="both"/>
              <w:rPr>
                <w:rFonts w:ascii="Cambria" w:eastAsia="Times New Roman" w:hAnsi="Cambria" w:cs="Cambria"/>
                <w:sz w:val="18"/>
                <w:szCs w:val="24"/>
                <w:lang w:val="hr-BA" w:eastAsia="de-DE"/>
              </w:rPr>
            </w:pPr>
          </w:p>
        </w:tc>
        <w:tc>
          <w:tcPr>
            <w:tcW w:w="4536" w:type="dxa"/>
          </w:tcPr>
          <w:p w:rsidR="00E4394B" w:rsidRPr="00E4394B" w:rsidRDefault="00E4394B" w:rsidP="00E4394B">
            <w:pPr>
              <w:numPr>
                <w:ilvl w:val="0"/>
                <w:numId w:val="15"/>
              </w:numPr>
              <w:spacing w:after="120" w:line="240" w:lineRule="auto"/>
              <w:contextualSpacing/>
              <w:jc w:val="both"/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</w:pPr>
            <w:r w:rsidRPr="00E4394B"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  <w:t>Sporost u procesu usvajanja i donošenja zakona i podzakonskih akata,</w:t>
            </w:r>
          </w:p>
          <w:p w:rsidR="00E4394B" w:rsidRPr="00E4394B" w:rsidRDefault="00E4394B" w:rsidP="00E4394B">
            <w:pPr>
              <w:numPr>
                <w:ilvl w:val="0"/>
                <w:numId w:val="15"/>
              </w:numPr>
              <w:spacing w:after="120" w:line="240" w:lineRule="auto"/>
              <w:contextualSpacing/>
              <w:jc w:val="both"/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</w:pPr>
            <w:r w:rsidRPr="00E4394B"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  <w:t>Razlike u legislativi na različitim nivioma vlasti,</w:t>
            </w:r>
          </w:p>
          <w:p w:rsidR="00E4394B" w:rsidRPr="00E4394B" w:rsidRDefault="00E4394B" w:rsidP="00E4394B">
            <w:pPr>
              <w:numPr>
                <w:ilvl w:val="0"/>
                <w:numId w:val="15"/>
              </w:numPr>
              <w:spacing w:after="120" w:line="240" w:lineRule="auto"/>
              <w:contextualSpacing/>
              <w:jc w:val="both"/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</w:pPr>
            <w:r w:rsidRPr="00E4394B">
              <w:rPr>
                <w:rFonts w:ascii="Cambria" w:eastAsia="Times New Roman" w:hAnsi="Cambria" w:cs="Cambria"/>
                <w:sz w:val="18"/>
                <w:szCs w:val="20"/>
                <w:lang w:val="hr-BA" w:eastAsia="de-DE"/>
              </w:rPr>
              <w:t>Nepriznavanje „ekvivalentnih“ dokumenata.</w:t>
            </w:r>
          </w:p>
          <w:p w:rsidR="00E4394B" w:rsidRPr="00E4394B" w:rsidRDefault="00E4394B" w:rsidP="00E4394B">
            <w:pPr>
              <w:spacing w:after="120" w:line="240" w:lineRule="auto"/>
              <w:ind w:left="360"/>
              <w:contextualSpacing/>
              <w:jc w:val="both"/>
              <w:rPr>
                <w:rFonts w:ascii="Cambria" w:eastAsia="Times New Roman" w:hAnsi="Cambria" w:cs="Cambria"/>
                <w:sz w:val="18"/>
                <w:szCs w:val="24"/>
                <w:lang w:val="hr-BA" w:eastAsia="de-DE"/>
              </w:rPr>
            </w:pPr>
          </w:p>
        </w:tc>
      </w:tr>
    </w:tbl>
    <w:p w:rsidR="00E4394B" w:rsidRDefault="00E4394B" w:rsidP="00E0611F">
      <w:pPr>
        <w:spacing w:after="0"/>
        <w:jc w:val="both"/>
        <w:rPr>
          <w:bCs/>
          <w:sz w:val="24"/>
          <w:szCs w:val="24"/>
        </w:rPr>
      </w:pPr>
    </w:p>
    <w:p w:rsidR="00D7706D" w:rsidRPr="00C177AD" w:rsidRDefault="00D7706D" w:rsidP="00D7706D">
      <w:pPr>
        <w:pStyle w:val="Heading2"/>
        <w:spacing w:before="0"/>
        <w:rPr>
          <w:rFonts w:ascii="Times New Roman" w:hAnsi="Times New Roman" w:cs="Times New Roman"/>
          <w:color w:val="365F91" w:themeColor="accent1" w:themeShade="BF"/>
        </w:rPr>
      </w:pPr>
      <w:bookmarkStart w:id="12" w:name="_Toc438565170"/>
      <w:r w:rsidRPr="008E45F8">
        <w:rPr>
          <w:rFonts w:ascii="Times New Roman" w:hAnsi="Times New Roman" w:cs="Times New Roman"/>
          <w:color w:val="365F91" w:themeColor="accent1" w:themeShade="BF"/>
        </w:rPr>
        <w:t>4.</w:t>
      </w:r>
      <w:r>
        <w:rPr>
          <w:rFonts w:ascii="Times New Roman" w:hAnsi="Times New Roman" w:cs="Times New Roman"/>
          <w:color w:val="365F91" w:themeColor="accent1" w:themeShade="BF"/>
        </w:rPr>
        <w:t>2</w:t>
      </w:r>
      <w:r w:rsidRPr="008E45F8">
        <w:rPr>
          <w:rFonts w:ascii="Times New Roman" w:hAnsi="Times New Roman" w:cs="Times New Roman"/>
          <w:color w:val="365F91" w:themeColor="accent1" w:themeShade="BF"/>
        </w:rPr>
        <w:t xml:space="preserve">. </w:t>
      </w:r>
      <w:r>
        <w:rPr>
          <w:rFonts w:ascii="Times New Roman" w:hAnsi="Times New Roman" w:cs="Times New Roman"/>
          <w:color w:val="365F91" w:themeColor="accent1" w:themeShade="BF"/>
        </w:rPr>
        <w:t>Srednjoročni cilj</w:t>
      </w:r>
      <w:bookmarkEnd w:id="12"/>
    </w:p>
    <w:p w:rsidR="00D7706D" w:rsidRDefault="00D7706D" w:rsidP="00E0611F">
      <w:pPr>
        <w:spacing w:after="0"/>
        <w:jc w:val="both"/>
        <w:rPr>
          <w:b/>
          <w:bCs/>
          <w:sz w:val="24"/>
          <w:szCs w:val="24"/>
          <w:lang w:val="en-US"/>
        </w:rPr>
      </w:pPr>
    </w:p>
    <w:p w:rsidR="00E4394B" w:rsidRDefault="00D7706D" w:rsidP="00D7706D">
      <w:pPr>
        <w:jc w:val="both"/>
        <w:rPr>
          <w:bCs/>
          <w:sz w:val="24"/>
          <w:szCs w:val="24"/>
        </w:rPr>
      </w:pPr>
      <w:proofErr w:type="spellStart"/>
      <w:r w:rsidRPr="00D7706D">
        <w:rPr>
          <w:bCs/>
          <w:sz w:val="24"/>
          <w:szCs w:val="24"/>
          <w:lang w:val="en-US"/>
        </w:rPr>
        <w:t>Srednjoročni</w:t>
      </w:r>
      <w:proofErr w:type="spellEnd"/>
      <w:r w:rsidRPr="00D7706D">
        <w:rPr>
          <w:bCs/>
          <w:sz w:val="24"/>
          <w:szCs w:val="24"/>
          <w:lang w:val="en-US"/>
        </w:rPr>
        <w:t xml:space="preserve"> </w:t>
      </w:r>
      <w:proofErr w:type="spellStart"/>
      <w:r w:rsidRPr="00D7706D">
        <w:rPr>
          <w:bCs/>
          <w:sz w:val="24"/>
          <w:szCs w:val="24"/>
          <w:lang w:val="en-US"/>
        </w:rPr>
        <w:t>cilj</w:t>
      </w:r>
      <w:proofErr w:type="spellEnd"/>
      <w:r w:rsidRPr="00D7706D"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Agencije</w:t>
      </w:r>
      <w:proofErr w:type="spellEnd"/>
      <w:r w:rsidRPr="00D7706D">
        <w:rPr>
          <w:bCs/>
          <w:sz w:val="24"/>
          <w:szCs w:val="24"/>
          <w:lang w:val="en-US"/>
        </w:rPr>
        <w:t xml:space="preserve"> je </w:t>
      </w:r>
      <w:proofErr w:type="spellStart"/>
      <w:r w:rsidRPr="00D7706D">
        <w:rPr>
          <w:bCs/>
          <w:sz w:val="24"/>
          <w:szCs w:val="24"/>
          <w:lang w:val="en-US"/>
        </w:rPr>
        <w:t>definisan</w:t>
      </w:r>
      <w:proofErr w:type="spellEnd"/>
      <w:r w:rsidRPr="00D7706D">
        <w:rPr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D7706D">
        <w:rPr>
          <w:bCs/>
          <w:sz w:val="24"/>
          <w:szCs w:val="24"/>
          <w:lang w:val="en-US"/>
        </w:rPr>
        <w:t>od</w:t>
      </w:r>
      <w:proofErr w:type="spellEnd"/>
      <w:proofErr w:type="gramEnd"/>
      <w:r w:rsidRPr="00D7706D">
        <w:rPr>
          <w:bCs/>
          <w:sz w:val="24"/>
          <w:szCs w:val="24"/>
          <w:lang w:val="en-US"/>
        </w:rPr>
        <w:t xml:space="preserve"> </w:t>
      </w:r>
      <w:proofErr w:type="spellStart"/>
      <w:r w:rsidRPr="00D7706D">
        <w:rPr>
          <w:bCs/>
          <w:sz w:val="24"/>
          <w:szCs w:val="24"/>
          <w:lang w:val="en-US"/>
        </w:rPr>
        <w:t>strane</w:t>
      </w:r>
      <w:proofErr w:type="spellEnd"/>
      <w:r w:rsidRPr="00D7706D">
        <w:rPr>
          <w:bCs/>
          <w:sz w:val="24"/>
          <w:szCs w:val="24"/>
          <w:lang w:val="en-US"/>
        </w:rPr>
        <w:t xml:space="preserve"> </w:t>
      </w:r>
      <w:proofErr w:type="spellStart"/>
      <w:r w:rsidRPr="00D7706D">
        <w:rPr>
          <w:bCs/>
          <w:sz w:val="24"/>
          <w:szCs w:val="24"/>
          <w:lang w:val="en-US"/>
        </w:rPr>
        <w:t>Direkcije</w:t>
      </w:r>
      <w:proofErr w:type="spellEnd"/>
      <w:r w:rsidRPr="00D7706D">
        <w:rPr>
          <w:bCs/>
          <w:sz w:val="24"/>
          <w:szCs w:val="24"/>
          <w:lang w:val="en-US"/>
        </w:rPr>
        <w:t xml:space="preserve"> </w:t>
      </w:r>
      <w:proofErr w:type="spellStart"/>
      <w:r w:rsidRPr="00D7706D">
        <w:rPr>
          <w:bCs/>
          <w:sz w:val="24"/>
          <w:szCs w:val="24"/>
          <w:lang w:val="en-US"/>
        </w:rPr>
        <w:t>za</w:t>
      </w:r>
      <w:proofErr w:type="spellEnd"/>
      <w:r w:rsidRPr="00D7706D">
        <w:rPr>
          <w:bCs/>
          <w:sz w:val="24"/>
          <w:szCs w:val="24"/>
          <w:lang w:val="en-US"/>
        </w:rPr>
        <w:t xml:space="preserve"> </w:t>
      </w:r>
      <w:proofErr w:type="spellStart"/>
      <w:r w:rsidRPr="00D7706D">
        <w:rPr>
          <w:bCs/>
          <w:sz w:val="24"/>
          <w:szCs w:val="24"/>
          <w:lang w:val="en-US"/>
        </w:rPr>
        <w:t>ekonomsko</w:t>
      </w:r>
      <w:proofErr w:type="spellEnd"/>
      <w:r w:rsidRPr="00D7706D">
        <w:rPr>
          <w:bCs/>
          <w:sz w:val="24"/>
          <w:szCs w:val="24"/>
          <w:lang w:val="en-US"/>
        </w:rPr>
        <w:t xml:space="preserve"> </w:t>
      </w:r>
      <w:proofErr w:type="spellStart"/>
      <w:r w:rsidRPr="00D7706D">
        <w:rPr>
          <w:bCs/>
          <w:sz w:val="24"/>
          <w:szCs w:val="24"/>
          <w:lang w:val="en-US"/>
        </w:rPr>
        <w:t>planiranje</w:t>
      </w:r>
      <w:proofErr w:type="spellEnd"/>
      <w:r w:rsidRPr="00D7706D">
        <w:rPr>
          <w:bCs/>
          <w:sz w:val="24"/>
          <w:szCs w:val="24"/>
          <w:lang w:val="en-US"/>
        </w:rPr>
        <w:t xml:space="preserve"> </w:t>
      </w:r>
      <w:proofErr w:type="spellStart"/>
      <w:r w:rsidRPr="00D7706D">
        <w:rPr>
          <w:bCs/>
          <w:sz w:val="24"/>
          <w:szCs w:val="24"/>
          <w:lang w:val="en-US"/>
        </w:rPr>
        <w:t>i</w:t>
      </w:r>
      <w:proofErr w:type="spellEnd"/>
      <w:r w:rsidRPr="00D7706D">
        <w:rPr>
          <w:bCs/>
          <w:sz w:val="24"/>
          <w:szCs w:val="24"/>
          <w:lang w:val="en-US"/>
        </w:rPr>
        <w:t xml:space="preserve"> </w:t>
      </w:r>
      <w:proofErr w:type="spellStart"/>
      <w:r w:rsidRPr="00D7706D">
        <w:rPr>
          <w:bCs/>
          <w:sz w:val="24"/>
          <w:szCs w:val="24"/>
          <w:lang w:val="en-US"/>
        </w:rPr>
        <w:t>konsolidovan</w:t>
      </w:r>
      <w:proofErr w:type="spellEnd"/>
      <w:r w:rsidRPr="00D7706D">
        <w:rPr>
          <w:bCs/>
          <w:sz w:val="24"/>
          <w:szCs w:val="24"/>
          <w:lang w:val="en-US"/>
        </w:rPr>
        <w:t xml:space="preserve"> </w:t>
      </w:r>
      <w:proofErr w:type="spellStart"/>
      <w:r w:rsidRPr="00D7706D">
        <w:rPr>
          <w:bCs/>
          <w:sz w:val="24"/>
          <w:szCs w:val="24"/>
          <w:lang w:val="en-US"/>
        </w:rPr>
        <w:t>na</w:t>
      </w:r>
      <w:proofErr w:type="spellEnd"/>
      <w:r w:rsidRPr="00D7706D">
        <w:rPr>
          <w:bCs/>
          <w:sz w:val="24"/>
          <w:szCs w:val="24"/>
          <w:lang w:val="en-US"/>
        </w:rPr>
        <w:t xml:space="preserve"> </w:t>
      </w:r>
      <w:proofErr w:type="spellStart"/>
      <w:r w:rsidRPr="00D7706D">
        <w:rPr>
          <w:bCs/>
          <w:sz w:val="24"/>
          <w:szCs w:val="24"/>
          <w:lang w:val="en-US"/>
        </w:rPr>
        <w:t>nivou</w:t>
      </w:r>
      <w:proofErr w:type="spellEnd"/>
      <w:r w:rsidRPr="00D7706D">
        <w:rPr>
          <w:bCs/>
          <w:sz w:val="24"/>
          <w:szCs w:val="24"/>
          <w:lang w:val="en-US"/>
        </w:rPr>
        <w:t xml:space="preserve"> </w:t>
      </w:r>
      <w:proofErr w:type="spellStart"/>
      <w:r w:rsidRPr="00D7706D">
        <w:rPr>
          <w:bCs/>
          <w:sz w:val="24"/>
          <w:szCs w:val="24"/>
          <w:lang w:val="en-US"/>
        </w:rPr>
        <w:t>više</w:t>
      </w:r>
      <w:proofErr w:type="spellEnd"/>
      <w:r w:rsidRPr="00D7706D">
        <w:rPr>
          <w:bCs/>
          <w:sz w:val="24"/>
          <w:szCs w:val="24"/>
          <w:lang w:val="en-US"/>
        </w:rPr>
        <w:t xml:space="preserve"> </w:t>
      </w:r>
      <w:proofErr w:type="spellStart"/>
      <w:r w:rsidRPr="00D7706D">
        <w:rPr>
          <w:bCs/>
          <w:sz w:val="24"/>
          <w:szCs w:val="24"/>
          <w:lang w:val="en-US"/>
        </w:rPr>
        <w:t>institucija</w:t>
      </w:r>
      <w:proofErr w:type="spellEnd"/>
      <w:r w:rsidRPr="00D7706D">
        <w:rPr>
          <w:bCs/>
          <w:sz w:val="24"/>
          <w:szCs w:val="24"/>
          <w:lang w:val="en-US"/>
        </w:rPr>
        <w:t xml:space="preserve"> </w:t>
      </w:r>
      <w:proofErr w:type="spellStart"/>
      <w:r w:rsidRPr="00D7706D">
        <w:rPr>
          <w:bCs/>
          <w:sz w:val="24"/>
          <w:szCs w:val="24"/>
          <w:lang w:val="en-US"/>
        </w:rPr>
        <w:t>koje</w:t>
      </w:r>
      <w:proofErr w:type="spellEnd"/>
      <w:r w:rsidRPr="00D7706D">
        <w:rPr>
          <w:bCs/>
          <w:sz w:val="24"/>
          <w:szCs w:val="24"/>
          <w:lang w:val="en-US"/>
        </w:rPr>
        <w:t xml:space="preserve"> </w:t>
      </w:r>
      <w:proofErr w:type="spellStart"/>
      <w:r w:rsidRPr="00D7706D">
        <w:rPr>
          <w:bCs/>
          <w:sz w:val="24"/>
          <w:szCs w:val="24"/>
          <w:lang w:val="en-US"/>
        </w:rPr>
        <w:t>doprinose</w:t>
      </w:r>
      <w:proofErr w:type="spellEnd"/>
      <w:r w:rsidRPr="00D7706D">
        <w:rPr>
          <w:bCs/>
          <w:sz w:val="24"/>
          <w:szCs w:val="24"/>
          <w:lang w:val="en-US"/>
        </w:rPr>
        <w:t xml:space="preserve"> </w:t>
      </w:r>
      <w:proofErr w:type="spellStart"/>
      <w:r w:rsidRPr="00D7706D">
        <w:rPr>
          <w:bCs/>
          <w:sz w:val="24"/>
          <w:szCs w:val="24"/>
          <w:lang w:val="en-US"/>
        </w:rPr>
        <w:t>istom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 w:rsidRPr="00D7706D">
        <w:rPr>
          <w:bCs/>
          <w:sz w:val="24"/>
          <w:szCs w:val="24"/>
          <w:lang w:val="en-US"/>
        </w:rPr>
        <w:t>strateškom</w:t>
      </w:r>
      <w:proofErr w:type="spellEnd"/>
      <w:r w:rsidRPr="00D7706D">
        <w:rPr>
          <w:bCs/>
          <w:sz w:val="24"/>
          <w:szCs w:val="24"/>
          <w:lang w:val="en-US"/>
        </w:rPr>
        <w:t xml:space="preserve"> </w:t>
      </w:r>
      <w:proofErr w:type="spellStart"/>
      <w:r w:rsidRPr="00D7706D">
        <w:rPr>
          <w:bCs/>
          <w:sz w:val="24"/>
          <w:szCs w:val="24"/>
          <w:lang w:val="en-US"/>
        </w:rPr>
        <w:t>cilju</w:t>
      </w:r>
      <w:proofErr w:type="spellEnd"/>
      <w:r w:rsidRPr="00D7706D">
        <w:rPr>
          <w:bCs/>
          <w:sz w:val="24"/>
          <w:szCs w:val="24"/>
          <w:lang w:val="en-US"/>
        </w:rPr>
        <w:t>.</w:t>
      </w:r>
    </w:p>
    <w:tbl>
      <w:tblPr>
        <w:tblStyle w:val="TableGrid"/>
        <w:tblW w:w="0" w:type="auto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120"/>
        <w:gridCol w:w="6922"/>
      </w:tblGrid>
      <w:tr w:rsidR="00D179A1" w:rsidTr="008924F6">
        <w:tc>
          <w:tcPr>
            <w:tcW w:w="2122" w:type="dxa"/>
            <w:shd w:val="clear" w:color="auto" w:fill="C6D9F1" w:themeFill="text2" w:themeFillTint="33"/>
            <w:vAlign w:val="center"/>
          </w:tcPr>
          <w:p w:rsidR="00D179A1" w:rsidRPr="00D179A1" w:rsidRDefault="00D179A1" w:rsidP="00D179A1">
            <w:pPr>
              <w:jc w:val="center"/>
              <w:rPr>
                <w:b/>
                <w:bCs/>
                <w:sz w:val="24"/>
                <w:szCs w:val="24"/>
              </w:rPr>
            </w:pPr>
            <w:r w:rsidRPr="00D179A1">
              <w:rPr>
                <w:b/>
                <w:bCs/>
                <w:sz w:val="24"/>
                <w:szCs w:val="24"/>
              </w:rPr>
              <w:t>Srednjoročni cilj</w:t>
            </w:r>
          </w:p>
        </w:tc>
        <w:tc>
          <w:tcPr>
            <w:tcW w:w="6940" w:type="dxa"/>
          </w:tcPr>
          <w:p w:rsidR="00D179A1" w:rsidRDefault="00FB7E48" w:rsidP="00DC72FB">
            <w:pPr>
              <w:jc w:val="both"/>
              <w:rPr>
                <w:bCs/>
                <w:sz w:val="24"/>
                <w:szCs w:val="24"/>
              </w:rPr>
            </w:pPr>
            <w:r w:rsidRPr="00FB7E48">
              <w:rPr>
                <w:bCs/>
                <w:sz w:val="24"/>
                <w:szCs w:val="24"/>
              </w:rPr>
              <w:t>Unaprijediti sistem infrastrukture kvaliteta u skladu sa EU legislativama i dobrom praksom EU, efikasniju regulaciju tržišta u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B7E48">
              <w:rPr>
                <w:bCs/>
                <w:sz w:val="24"/>
                <w:szCs w:val="24"/>
              </w:rPr>
              <w:t>svrhu obezbjeđenja slobodnog kretanja roba i usluga i tržišne fer konkurencije</w:t>
            </w:r>
            <w:r w:rsidR="00D179A1" w:rsidRPr="00D179A1">
              <w:rPr>
                <w:bCs/>
                <w:sz w:val="24"/>
                <w:szCs w:val="24"/>
              </w:rPr>
              <w:t>.</w:t>
            </w:r>
          </w:p>
        </w:tc>
      </w:tr>
    </w:tbl>
    <w:p w:rsidR="00E4394B" w:rsidRDefault="00E4394B" w:rsidP="00E0611F">
      <w:pPr>
        <w:spacing w:after="0"/>
        <w:jc w:val="both"/>
        <w:rPr>
          <w:bCs/>
          <w:sz w:val="24"/>
          <w:szCs w:val="24"/>
        </w:rPr>
      </w:pPr>
    </w:p>
    <w:p w:rsidR="00CB0358" w:rsidRPr="00CB0358" w:rsidRDefault="00CB0358" w:rsidP="00CB0358">
      <w:pPr>
        <w:keepNext/>
        <w:keepLines/>
        <w:spacing w:after="0"/>
        <w:outlineLvl w:val="1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6"/>
          <w:szCs w:val="26"/>
        </w:rPr>
      </w:pPr>
      <w:bookmarkStart w:id="13" w:name="_Toc438565171"/>
      <w:r w:rsidRPr="00CB0358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6"/>
          <w:szCs w:val="26"/>
        </w:rPr>
        <w:lastRenderedPageBreak/>
        <w:t>4.</w:t>
      </w:r>
      <w: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6"/>
          <w:szCs w:val="26"/>
        </w:rPr>
        <w:t>3</w:t>
      </w:r>
      <w:r w:rsidRPr="00CB0358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6"/>
          <w:szCs w:val="26"/>
        </w:rPr>
        <w:t>. S</w:t>
      </w:r>
      <w: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6"/>
          <w:szCs w:val="26"/>
        </w:rPr>
        <w:t>pecifični</w:t>
      </w:r>
      <w:r w:rsidRPr="00CB0358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6"/>
          <w:szCs w:val="26"/>
        </w:rPr>
        <w:t xml:space="preserve"> cilj</w:t>
      </w:r>
      <w:bookmarkEnd w:id="13"/>
    </w:p>
    <w:p w:rsidR="00CB0358" w:rsidRDefault="00CB0358" w:rsidP="00E0611F">
      <w:pPr>
        <w:spacing w:after="0"/>
        <w:jc w:val="both"/>
        <w:rPr>
          <w:bCs/>
          <w:sz w:val="24"/>
          <w:szCs w:val="24"/>
        </w:rPr>
      </w:pPr>
    </w:p>
    <w:p w:rsidR="00CB0358" w:rsidRDefault="00CB0358" w:rsidP="00CB0358">
      <w:pPr>
        <w:jc w:val="both"/>
        <w:rPr>
          <w:bCs/>
          <w:sz w:val="24"/>
          <w:szCs w:val="24"/>
        </w:rPr>
      </w:pPr>
      <w:r w:rsidRPr="00CB0358">
        <w:rPr>
          <w:bCs/>
          <w:sz w:val="24"/>
          <w:szCs w:val="24"/>
        </w:rPr>
        <w:t xml:space="preserve">Polazeći od srednjoročnog cilja, </w:t>
      </w:r>
      <w:r>
        <w:rPr>
          <w:bCs/>
          <w:sz w:val="24"/>
          <w:szCs w:val="24"/>
        </w:rPr>
        <w:t>Agencija</w:t>
      </w:r>
      <w:r w:rsidRPr="00CB0358">
        <w:rPr>
          <w:bCs/>
          <w:sz w:val="24"/>
          <w:szCs w:val="24"/>
        </w:rPr>
        <w:t xml:space="preserve"> je razvil</w:t>
      </w:r>
      <w:r>
        <w:rPr>
          <w:bCs/>
          <w:sz w:val="24"/>
          <w:szCs w:val="24"/>
        </w:rPr>
        <w:t>a</w:t>
      </w:r>
      <w:r w:rsidRPr="00CB0358">
        <w:rPr>
          <w:bCs/>
          <w:sz w:val="24"/>
          <w:szCs w:val="24"/>
        </w:rPr>
        <w:t xml:space="preserve"> i usaglasilo </w:t>
      </w:r>
      <w:r w:rsidR="008924F6">
        <w:rPr>
          <w:bCs/>
          <w:sz w:val="24"/>
          <w:szCs w:val="24"/>
        </w:rPr>
        <w:t>jedan</w:t>
      </w:r>
      <w:r w:rsidRPr="00CB0358">
        <w:rPr>
          <w:bCs/>
          <w:sz w:val="24"/>
          <w:szCs w:val="24"/>
        </w:rPr>
        <w:t xml:space="preserve"> specifičn</w:t>
      </w:r>
      <w:r w:rsidR="008924F6">
        <w:rPr>
          <w:bCs/>
          <w:sz w:val="24"/>
          <w:szCs w:val="24"/>
        </w:rPr>
        <w:t>i</w:t>
      </w:r>
      <w:r w:rsidRPr="00CB0358">
        <w:rPr>
          <w:bCs/>
          <w:sz w:val="24"/>
          <w:szCs w:val="24"/>
        </w:rPr>
        <w:t xml:space="preserve"> cilj.</w:t>
      </w:r>
    </w:p>
    <w:tbl>
      <w:tblPr>
        <w:tblStyle w:val="TableGrid"/>
        <w:tblW w:w="0" w:type="auto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119"/>
        <w:gridCol w:w="6923"/>
      </w:tblGrid>
      <w:tr w:rsidR="00CB0358" w:rsidTr="00FB7E48">
        <w:tc>
          <w:tcPr>
            <w:tcW w:w="2119" w:type="dxa"/>
            <w:shd w:val="clear" w:color="auto" w:fill="C6D9F1" w:themeFill="text2" w:themeFillTint="33"/>
            <w:vAlign w:val="center"/>
          </w:tcPr>
          <w:p w:rsidR="00CB0358" w:rsidRPr="00D179A1" w:rsidRDefault="00CB0358" w:rsidP="008924F6">
            <w:pPr>
              <w:rPr>
                <w:b/>
                <w:bCs/>
                <w:sz w:val="24"/>
                <w:szCs w:val="24"/>
              </w:rPr>
            </w:pPr>
            <w:r w:rsidRPr="00CB0358">
              <w:rPr>
                <w:b/>
                <w:bCs/>
                <w:sz w:val="24"/>
                <w:szCs w:val="24"/>
              </w:rPr>
              <w:t xml:space="preserve">Specifični cilj </w:t>
            </w:r>
          </w:p>
        </w:tc>
        <w:tc>
          <w:tcPr>
            <w:tcW w:w="6923" w:type="dxa"/>
            <w:vAlign w:val="center"/>
          </w:tcPr>
          <w:p w:rsidR="00CB0358" w:rsidRDefault="00FB7E48" w:rsidP="00FB7E48">
            <w:pPr>
              <w:jc w:val="both"/>
              <w:rPr>
                <w:bCs/>
                <w:sz w:val="24"/>
                <w:szCs w:val="24"/>
              </w:rPr>
            </w:pPr>
            <w:r w:rsidRPr="00FB7E48">
              <w:rPr>
                <w:bCs/>
                <w:sz w:val="24"/>
                <w:szCs w:val="24"/>
              </w:rPr>
              <w:t>Unaprijediti proces i transparentnost provođenja postupaka javnih nabavki</w:t>
            </w:r>
          </w:p>
        </w:tc>
      </w:tr>
    </w:tbl>
    <w:p w:rsidR="00E84244" w:rsidRDefault="00E84244" w:rsidP="00E84244">
      <w:pPr>
        <w:spacing w:after="0"/>
        <w:jc w:val="both"/>
        <w:rPr>
          <w:bCs/>
          <w:sz w:val="24"/>
          <w:szCs w:val="24"/>
        </w:rPr>
      </w:pPr>
    </w:p>
    <w:p w:rsidR="00E84244" w:rsidRDefault="00E84244" w:rsidP="00E84244">
      <w:pPr>
        <w:spacing w:after="0"/>
        <w:jc w:val="both"/>
        <w:rPr>
          <w:bCs/>
          <w:sz w:val="24"/>
          <w:szCs w:val="24"/>
        </w:rPr>
      </w:pPr>
      <w:r w:rsidRPr="00E84244">
        <w:rPr>
          <w:bCs/>
          <w:sz w:val="24"/>
          <w:szCs w:val="24"/>
        </w:rPr>
        <w:t>U skladu sa prethodno definisanim srednjoročnim i specifičnim cilje</w:t>
      </w:r>
      <w:r w:rsidR="00FB7E48">
        <w:rPr>
          <w:bCs/>
          <w:sz w:val="24"/>
          <w:szCs w:val="24"/>
        </w:rPr>
        <w:t>m</w:t>
      </w:r>
      <w:r w:rsidRPr="00E84244">
        <w:rPr>
          <w:bCs/>
          <w:sz w:val="24"/>
          <w:szCs w:val="24"/>
        </w:rPr>
        <w:t>, određeni su programi i projekti za nj</w:t>
      </w:r>
      <w:r w:rsidR="00FB7E48">
        <w:rPr>
          <w:bCs/>
          <w:sz w:val="24"/>
          <w:szCs w:val="24"/>
        </w:rPr>
        <w:t>ego</w:t>
      </w:r>
      <w:r w:rsidRPr="00E84244">
        <w:rPr>
          <w:bCs/>
          <w:sz w:val="24"/>
          <w:szCs w:val="24"/>
        </w:rPr>
        <w:t>vu implementaciju, što možemo vidjeti u naredn</w:t>
      </w:r>
      <w:r w:rsidR="00FB7E48">
        <w:rPr>
          <w:bCs/>
          <w:sz w:val="24"/>
          <w:szCs w:val="24"/>
        </w:rPr>
        <w:t>oj</w:t>
      </w:r>
      <w:r w:rsidRPr="00E84244">
        <w:rPr>
          <w:bCs/>
          <w:sz w:val="24"/>
          <w:szCs w:val="24"/>
        </w:rPr>
        <w:t xml:space="preserve"> tabel</w:t>
      </w:r>
      <w:r w:rsidR="00FB7E48">
        <w:rPr>
          <w:bCs/>
          <w:sz w:val="24"/>
          <w:szCs w:val="24"/>
        </w:rPr>
        <w:t>i</w:t>
      </w:r>
      <w:r w:rsidRPr="00E84244">
        <w:rPr>
          <w:bCs/>
          <w:sz w:val="24"/>
          <w:szCs w:val="24"/>
        </w:rPr>
        <w:t>.</w:t>
      </w:r>
    </w:p>
    <w:p w:rsidR="00E84244" w:rsidRDefault="00E84244" w:rsidP="00E84244">
      <w:pPr>
        <w:spacing w:after="0"/>
        <w:jc w:val="both"/>
        <w:rPr>
          <w:bCs/>
          <w:sz w:val="24"/>
          <w:szCs w:val="24"/>
        </w:rPr>
      </w:pPr>
    </w:p>
    <w:p w:rsidR="00E84244" w:rsidRDefault="00E84244" w:rsidP="00E0611F">
      <w:pPr>
        <w:spacing w:after="0"/>
        <w:jc w:val="both"/>
        <w:rPr>
          <w:bCs/>
          <w:sz w:val="24"/>
          <w:szCs w:val="24"/>
        </w:rPr>
      </w:pPr>
      <w:r w:rsidRPr="00E84244">
        <w:rPr>
          <w:bCs/>
          <w:sz w:val="24"/>
          <w:szCs w:val="24"/>
        </w:rPr>
        <w:t xml:space="preserve">Tabela 3. Programi i projekti definisani za </w:t>
      </w:r>
      <w:r w:rsidR="00774000">
        <w:rPr>
          <w:bCs/>
          <w:sz w:val="24"/>
          <w:szCs w:val="24"/>
        </w:rPr>
        <w:t>S</w:t>
      </w:r>
      <w:r w:rsidRPr="00E84244">
        <w:rPr>
          <w:bCs/>
          <w:sz w:val="24"/>
          <w:szCs w:val="24"/>
        </w:rPr>
        <w:t>pecifični cilj</w:t>
      </w:r>
      <w:r w:rsidR="00FB7E48">
        <w:rPr>
          <w:bCs/>
          <w:sz w:val="24"/>
          <w:szCs w:val="24"/>
        </w:rPr>
        <w:t>.</w:t>
      </w:r>
      <w:r w:rsidRPr="00E84244">
        <w:rPr>
          <w:bCs/>
          <w:sz w:val="24"/>
          <w:szCs w:val="24"/>
        </w:rPr>
        <w:t xml:space="preserve"> </w:t>
      </w:r>
    </w:p>
    <w:p w:rsidR="00E0611F" w:rsidRDefault="00E0611F" w:rsidP="00E84244">
      <w:pPr>
        <w:spacing w:after="0"/>
        <w:jc w:val="both"/>
        <w:rPr>
          <w:bCs/>
          <w:sz w:val="24"/>
          <w:szCs w:val="24"/>
        </w:rPr>
      </w:pPr>
    </w:p>
    <w:tbl>
      <w:tblPr>
        <w:tblW w:w="9094" w:type="dxa"/>
        <w:tblInd w:w="-37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000" w:firstRow="0" w:lastRow="0" w:firstColumn="0" w:lastColumn="0" w:noHBand="0" w:noVBand="0"/>
      </w:tblPr>
      <w:tblGrid>
        <w:gridCol w:w="4547"/>
        <w:gridCol w:w="4547"/>
      </w:tblGrid>
      <w:tr w:rsidR="00E84244" w:rsidTr="00774000">
        <w:trPr>
          <w:trHeight w:val="135"/>
        </w:trPr>
        <w:tc>
          <w:tcPr>
            <w:tcW w:w="9094" w:type="dxa"/>
            <w:gridSpan w:val="2"/>
            <w:shd w:val="clear" w:color="auto" w:fill="C6D9F1" w:themeFill="text2" w:themeFillTint="33"/>
          </w:tcPr>
          <w:p w:rsidR="00E84244" w:rsidRPr="00E84244" w:rsidRDefault="00E84244" w:rsidP="008924F6">
            <w:pPr>
              <w:spacing w:after="0"/>
              <w:rPr>
                <w:bCs/>
                <w:sz w:val="24"/>
                <w:szCs w:val="24"/>
              </w:rPr>
            </w:pPr>
            <w:r w:rsidRPr="00E84244">
              <w:rPr>
                <w:b/>
                <w:bCs/>
                <w:sz w:val="24"/>
                <w:szCs w:val="24"/>
              </w:rPr>
              <w:t>Specifični cilj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  <w:r w:rsidRPr="00E84244">
              <w:rPr>
                <w:bCs/>
                <w:sz w:val="24"/>
                <w:szCs w:val="24"/>
              </w:rPr>
              <w:t>Unaprijediti proces i transparentnost provođenja postupaka javnih nabavki</w:t>
            </w:r>
          </w:p>
        </w:tc>
      </w:tr>
      <w:tr w:rsidR="00E84244" w:rsidTr="00774000">
        <w:trPr>
          <w:trHeight w:val="135"/>
        </w:trPr>
        <w:tc>
          <w:tcPr>
            <w:tcW w:w="4547" w:type="dxa"/>
            <w:vAlign w:val="center"/>
          </w:tcPr>
          <w:p w:rsidR="00252B4C" w:rsidRDefault="00252B4C" w:rsidP="00252B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7E48" w:rsidRPr="00FB7E48" w:rsidRDefault="00FB7E48" w:rsidP="00FB7E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E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 Razvoj i puštanje u rad novih servisa za e-nabavke</w:t>
            </w:r>
          </w:p>
          <w:p w:rsidR="00E0611F" w:rsidRPr="00E0611F" w:rsidRDefault="00E0611F" w:rsidP="00252B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E84244" w:rsidRPr="00E0611F" w:rsidRDefault="00E84244" w:rsidP="00252B4C">
            <w:pPr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7" w:type="dxa"/>
          </w:tcPr>
          <w:p w:rsidR="00FB7E48" w:rsidRPr="00FB7E48" w:rsidRDefault="00FB7E48" w:rsidP="00FB7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E48">
              <w:rPr>
                <w:rFonts w:ascii="Times New Roman" w:hAnsi="Times New Roman" w:cs="Times New Roman"/>
                <w:bCs/>
                <w:sz w:val="24"/>
                <w:szCs w:val="24"/>
              </w:rPr>
              <w:t>1.1.1.1. Uvođenje modula elektronske aukcije i priprema pratećeg podzakonskog akta</w:t>
            </w:r>
          </w:p>
          <w:p w:rsidR="00FB7E48" w:rsidRPr="00FB7E48" w:rsidRDefault="00FB7E48" w:rsidP="00FB7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E48">
              <w:rPr>
                <w:rFonts w:ascii="Times New Roman" w:hAnsi="Times New Roman" w:cs="Times New Roman"/>
                <w:bCs/>
                <w:sz w:val="24"/>
                <w:szCs w:val="24"/>
              </w:rPr>
              <w:t>1.1.1.2. Razvijanje aplikacija za smart uređaje</w:t>
            </w:r>
          </w:p>
          <w:p w:rsidR="00FB7E48" w:rsidRPr="00FB7E48" w:rsidRDefault="00FB7E48" w:rsidP="00FB7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E48">
              <w:rPr>
                <w:rFonts w:ascii="Times New Roman" w:hAnsi="Times New Roman" w:cs="Times New Roman"/>
                <w:bCs/>
                <w:sz w:val="24"/>
                <w:szCs w:val="24"/>
              </w:rPr>
              <w:t>1.1.1.3. Razvijanje modula za podnošenje ponuda e-Tendering  i priprema pratećeg podzakonskog akta</w:t>
            </w:r>
          </w:p>
          <w:p w:rsidR="00E84244" w:rsidRPr="00FB7E48" w:rsidRDefault="00FB7E48" w:rsidP="00FB7E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E48">
              <w:rPr>
                <w:rFonts w:ascii="Times New Roman" w:hAnsi="Times New Roman" w:cs="Times New Roman"/>
                <w:bCs/>
                <w:sz w:val="24"/>
                <w:szCs w:val="24"/>
              </w:rPr>
              <w:t>1.1.1.4. Razvijanje modula za evaluaciju ponuda i dodjelu ugovoara e-Aw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FB7E48">
              <w:rPr>
                <w:rFonts w:ascii="Times New Roman" w:hAnsi="Times New Roman" w:cs="Times New Roman"/>
                <w:bCs/>
                <w:sz w:val="24"/>
                <w:szCs w:val="24"/>
              </w:rPr>
              <w:t>rding  i prip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rema pratećeg podzakonskog akta</w:t>
            </w:r>
          </w:p>
        </w:tc>
      </w:tr>
      <w:tr w:rsidR="00E27F6F" w:rsidTr="00774000">
        <w:trPr>
          <w:trHeight w:val="135"/>
        </w:trPr>
        <w:tc>
          <w:tcPr>
            <w:tcW w:w="4547" w:type="dxa"/>
            <w:vAlign w:val="center"/>
          </w:tcPr>
          <w:p w:rsidR="00E27F6F" w:rsidRDefault="00E27F6F" w:rsidP="00E27F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27F6F" w:rsidRDefault="00E27F6F" w:rsidP="00E27F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E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 Obuke službenika za javne nabavke i praćenje primj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ene zakona i podzakonskih akata</w:t>
            </w:r>
          </w:p>
        </w:tc>
        <w:tc>
          <w:tcPr>
            <w:tcW w:w="4547" w:type="dxa"/>
          </w:tcPr>
          <w:p w:rsidR="00E27F6F" w:rsidRDefault="00E27F6F" w:rsidP="00E27F6F">
            <w:pPr>
              <w:pStyle w:val="ListParagraph"/>
              <w:numPr>
                <w:ilvl w:val="3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E48">
              <w:rPr>
                <w:rFonts w:ascii="Times New Roman" w:hAnsi="Times New Roman" w:cs="Times New Roman"/>
                <w:bCs/>
                <w:sz w:val="24"/>
                <w:szCs w:val="24"/>
              </w:rPr>
              <w:t>Monitoring postupaka javnih nabavki</w:t>
            </w:r>
          </w:p>
          <w:p w:rsidR="00E27F6F" w:rsidRPr="00FB7E48" w:rsidRDefault="00E27F6F" w:rsidP="00E27F6F">
            <w:pPr>
              <w:pStyle w:val="ListParagraph"/>
              <w:spacing w:after="0"/>
              <w:ind w:left="76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7F6F" w:rsidRPr="00FB7E48" w:rsidRDefault="00E27F6F" w:rsidP="00E27F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E48">
              <w:rPr>
                <w:rFonts w:ascii="Times New Roman" w:hAnsi="Times New Roman" w:cs="Times New Roman"/>
                <w:bCs/>
                <w:sz w:val="24"/>
                <w:szCs w:val="24"/>
              </w:rPr>
              <w:t>1.2.1.2. Izgradnja sistema obuka</w:t>
            </w:r>
          </w:p>
          <w:p w:rsidR="00E27F6F" w:rsidRPr="00FB7E48" w:rsidRDefault="00E27F6F" w:rsidP="00E27F6F">
            <w:pPr>
              <w:pStyle w:val="ListParagraph"/>
              <w:spacing w:after="0"/>
              <w:ind w:left="76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E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</w:tbl>
    <w:p w:rsidR="00252B4C" w:rsidRDefault="00252B4C" w:rsidP="00E27F6F">
      <w:pPr>
        <w:pBdr>
          <w:top w:val="single" w:sz="12" w:space="1" w:color="548DD4" w:themeColor="text2" w:themeTint="99"/>
        </w:pBdr>
        <w:jc w:val="both"/>
        <w:rPr>
          <w:bCs/>
          <w:sz w:val="24"/>
          <w:szCs w:val="24"/>
        </w:rPr>
      </w:pPr>
    </w:p>
    <w:p w:rsidR="00E27F6F" w:rsidRDefault="00E27F6F" w:rsidP="00136E20">
      <w:pPr>
        <w:spacing w:after="0"/>
        <w:jc w:val="both"/>
        <w:rPr>
          <w:bCs/>
          <w:sz w:val="24"/>
          <w:szCs w:val="24"/>
        </w:rPr>
      </w:pPr>
    </w:p>
    <w:p w:rsidR="00767BCA" w:rsidRPr="00DC72FB" w:rsidRDefault="00767BCA" w:rsidP="00767BCA">
      <w:pPr>
        <w:pStyle w:val="Heading1"/>
        <w:spacing w:before="0"/>
      </w:pPr>
      <w:bookmarkStart w:id="14" w:name="_Toc438565172"/>
      <w:r w:rsidRPr="00DC72FB">
        <w:t xml:space="preserve">Poglavlje </w:t>
      </w:r>
      <w:r>
        <w:t>5</w:t>
      </w:r>
      <w:r w:rsidRPr="00DC72FB">
        <w:t xml:space="preserve">: </w:t>
      </w:r>
      <w:r>
        <w:t>Resursi i kapaciteti potrebni za postizanje ciljeva</w:t>
      </w:r>
      <w:bookmarkEnd w:id="14"/>
      <w:r w:rsidRPr="00DC72FB">
        <w:t xml:space="preserve">  </w:t>
      </w:r>
    </w:p>
    <w:p w:rsidR="00767BCA" w:rsidRDefault="00767BCA" w:rsidP="00136E20">
      <w:pPr>
        <w:spacing w:after="0"/>
        <w:jc w:val="both"/>
        <w:rPr>
          <w:b/>
          <w:bCs/>
          <w:sz w:val="24"/>
          <w:szCs w:val="24"/>
          <w:lang w:val="en-US"/>
        </w:rPr>
      </w:pPr>
    </w:p>
    <w:p w:rsidR="00767BCA" w:rsidRPr="00C177AD" w:rsidRDefault="00274502" w:rsidP="00274502">
      <w:pPr>
        <w:pStyle w:val="Heading2"/>
        <w:spacing w:before="0"/>
        <w:rPr>
          <w:rFonts w:ascii="Times New Roman" w:hAnsi="Times New Roman" w:cs="Times New Roman"/>
          <w:color w:val="365F91" w:themeColor="accent1" w:themeShade="BF"/>
        </w:rPr>
      </w:pPr>
      <w:bookmarkStart w:id="15" w:name="_Toc438565173"/>
      <w:r>
        <w:rPr>
          <w:rFonts w:ascii="Times New Roman" w:hAnsi="Times New Roman" w:cs="Times New Roman"/>
          <w:color w:val="365F91" w:themeColor="accent1" w:themeShade="BF"/>
        </w:rPr>
        <w:t>5</w:t>
      </w:r>
      <w:r w:rsidR="00767BCA" w:rsidRPr="00C177AD">
        <w:rPr>
          <w:rFonts w:ascii="Times New Roman" w:hAnsi="Times New Roman" w:cs="Times New Roman"/>
          <w:color w:val="365F91" w:themeColor="accent1" w:themeShade="BF"/>
        </w:rPr>
        <w:t>.</w:t>
      </w:r>
      <w:r>
        <w:rPr>
          <w:rFonts w:ascii="Times New Roman" w:hAnsi="Times New Roman" w:cs="Times New Roman"/>
          <w:color w:val="365F91" w:themeColor="accent1" w:themeShade="BF"/>
        </w:rPr>
        <w:t>1</w:t>
      </w:r>
      <w:r w:rsidR="00767BCA" w:rsidRPr="00C177AD">
        <w:rPr>
          <w:rFonts w:ascii="Times New Roman" w:hAnsi="Times New Roman" w:cs="Times New Roman"/>
          <w:color w:val="365F91" w:themeColor="accent1" w:themeShade="BF"/>
        </w:rPr>
        <w:t xml:space="preserve">. </w:t>
      </w:r>
      <w:proofErr w:type="spellStart"/>
      <w:r w:rsidR="00767BCA" w:rsidRPr="00136E20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Predviđeni</w:t>
      </w:r>
      <w:proofErr w:type="spellEnd"/>
      <w:r w:rsidR="00767BCA" w:rsidRPr="00136E20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 xml:space="preserve"> </w:t>
      </w:r>
      <w:proofErr w:type="spellStart"/>
      <w:r w:rsidR="00767BCA" w:rsidRPr="00136E20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izvori</w:t>
      </w:r>
      <w:proofErr w:type="spellEnd"/>
      <w:r w:rsidR="00767BCA" w:rsidRPr="00136E20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 xml:space="preserve"> </w:t>
      </w:r>
      <w:proofErr w:type="spellStart"/>
      <w:r w:rsidR="00767BCA" w:rsidRPr="00136E20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finansiranja</w:t>
      </w:r>
      <w:bookmarkEnd w:id="15"/>
      <w:proofErr w:type="spellEnd"/>
    </w:p>
    <w:p w:rsidR="00767BCA" w:rsidRDefault="00767BCA" w:rsidP="00136E20">
      <w:pPr>
        <w:spacing w:after="0"/>
        <w:jc w:val="both"/>
        <w:rPr>
          <w:b/>
          <w:bCs/>
          <w:sz w:val="24"/>
          <w:szCs w:val="24"/>
          <w:lang w:val="en-US"/>
        </w:rPr>
      </w:pPr>
    </w:p>
    <w:p w:rsidR="00494588" w:rsidRPr="00494588" w:rsidRDefault="00494588" w:rsidP="00710C49">
      <w:pPr>
        <w:jc w:val="both"/>
        <w:rPr>
          <w:bCs/>
          <w:sz w:val="24"/>
          <w:szCs w:val="24"/>
          <w:lang w:val="en-US"/>
        </w:rPr>
      </w:pPr>
      <w:proofErr w:type="spellStart"/>
      <w:r w:rsidRPr="00494588">
        <w:rPr>
          <w:bCs/>
          <w:sz w:val="24"/>
          <w:szCs w:val="24"/>
          <w:lang w:val="en-US"/>
        </w:rPr>
        <w:t>Troškovi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koji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nastaju</w:t>
      </w:r>
      <w:proofErr w:type="spellEnd"/>
      <w:r w:rsidRPr="00494588">
        <w:rPr>
          <w:bCs/>
          <w:sz w:val="24"/>
          <w:szCs w:val="24"/>
          <w:lang w:val="en-US"/>
        </w:rPr>
        <w:t xml:space="preserve"> u </w:t>
      </w:r>
      <w:proofErr w:type="spellStart"/>
      <w:r w:rsidRPr="00494588">
        <w:rPr>
          <w:bCs/>
          <w:sz w:val="24"/>
          <w:szCs w:val="24"/>
          <w:lang w:val="en-US"/>
        </w:rPr>
        <w:t>toku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realizacije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srednjoročnog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plana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spadaju</w:t>
      </w:r>
      <w:proofErr w:type="spellEnd"/>
      <w:r w:rsidRPr="00494588">
        <w:rPr>
          <w:bCs/>
          <w:sz w:val="24"/>
          <w:szCs w:val="24"/>
          <w:lang w:val="en-US"/>
        </w:rPr>
        <w:t xml:space="preserve"> u </w:t>
      </w:r>
      <w:proofErr w:type="spellStart"/>
      <w:r w:rsidRPr="00494588">
        <w:rPr>
          <w:bCs/>
          <w:sz w:val="24"/>
          <w:szCs w:val="24"/>
          <w:lang w:val="en-US"/>
        </w:rPr>
        <w:t>sljedeće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osnovne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kategorije</w:t>
      </w:r>
      <w:proofErr w:type="spellEnd"/>
      <w:r w:rsidRPr="00494588">
        <w:rPr>
          <w:bCs/>
          <w:sz w:val="24"/>
          <w:szCs w:val="24"/>
          <w:lang w:val="en-US"/>
        </w:rPr>
        <w:t xml:space="preserve">: </w:t>
      </w:r>
      <w:proofErr w:type="spellStart"/>
      <w:r w:rsidRPr="00494588">
        <w:rPr>
          <w:bCs/>
          <w:sz w:val="24"/>
          <w:szCs w:val="24"/>
          <w:lang w:val="en-US"/>
        </w:rPr>
        <w:t>bruto</w:t>
      </w:r>
      <w:proofErr w:type="spellEnd"/>
      <w:r w:rsidRPr="00494588">
        <w:rPr>
          <w:bCs/>
          <w:sz w:val="24"/>
          <w:szCs w:val="24"/>
          <w:lang w:val="en-US"/>
        </w:rPr>
        <w:t xml:space="preserve"> plate </w:t>
      </w:r>
      <w:proofErr w:type="spellStart"/>
      <w:r w:rsidRPr="00494588">
        <w:rPr>
          <w:bCs/>
          <w:sz w:val="24"/>
          <w:szCs w:val="24"/>
          <w:lang w:val="en-US"/>
        </w:rPr>
        <w:t>i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naknade</w:t>
      </w:r>
      <w:proofErr w:type="spellEnd"/>
      <w:r w:rsidRPr="00494588">
        <w:rPr>
          <w:bCs/>
          <w:sz w:val="24"/>
          <w:szCs w:val="24"/>
          <w:lang w:val="en-US"/>
        </w:rPr>
        <w:t xml:space="preserve">, </w:t>
      </w:r>
      <w:proofErr w:type="spellStart"/>
      <w:r w:rsidRPr="00494588">
        <w:rPr>
          <w:bCs/>
          <w:sz w:val="24"/>
          <w:szCs w:val="24"/>
          <w:lang w:val="en-US"/>
        </w:rPr>
        <w:t>naknade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troškova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uposlenih</w:t>
      </w:r>
      <w:proofErr w:type="spellEnd"/>
      <w:r w:rsidRPr="00494588">
        <w:rPr>
          <w:bCs/>
          <w:sz w:val="24"/>
          <w:szCs w:val="24"/>
          <w:lang w:val="en-US"/>
        </w:rPr>
        <w:t xml:space="preserve">, </w:t>
      </w:r>
      <w:proofErr w:type="spellStart"/>
      <w:r w:rsidRPr="00494588">
        <w:rPr>
          <w:bCs/>
          <w:sz w:val="24"/>
          <w:szCs w:val="24"/>
          <w:lang w:val="en-US"/>
        </w:rPr>
        <w:t>izdaci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za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materijal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i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usluge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i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kapitalna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ulaganja</w:t>
      </w:r>
      <w:proofErr w:type="spellEnd"/>
      <w:r w:rsidRPr="00494588">
        <w:rPr>
          <w:bCs/>
          <w:sz w:val="24"/>
          <w:szCs w:val="24"/>
          <w:lang w:val="en-US"/>
        </w:rPr>
        <w:t xml:space="preserve">. </w:t>
      </w:r>
    </w:p>
    <w:p w:rsidR="00494588" w:rsidRPr="00494588" w:rsidRDefault="00494588" w:rsidP="00494588">
      <w:pPr>
        <w:jc w:val="both"/>
        <w:rPr>
          <w:bCs/>
          <w:sz w:val="24"/>
          <w:szCs w:val="24"/>
          <w:lang w:val="en-US"/>
        </w:rPr>
      </w:pPr>
      <w:proofErr w:type="spellStart"/>
      <w:r w:rsidRPr="00494588">
        <w:rPr>
          <w:bCs/>
          <w:sz w:val="24"/>
          <w:szCs w:val="24"/>
          <w:lang w:val="en-US"/>
        </w:rPr>
        <w:lastRenderedPageBreak/>
        <w:t>Organizacioni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di</w:t>
      </w:r>
      <w:r w:rsidR="00767BCA">
        <w:rPr>
          <w:bCs/>
          <w:sz w:val="24"/>
          <w:szCs w:val="24"/>
          <w:lang w:val="en-US"/>
        </w:rPr>
        <w:t>o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Agencije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koji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dodaj</w:t>
      </w:r>
      <w:r w:rsidR="00767BCA">
        <w:rPr>
          <w:bCs/>
          <w:sz w:val="24"/>
          <w:szCs w:val="24"/>
          <w:lang w:val="en-US"/>
        </w:rPr>
        <w:t>e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vrijednost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svim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projektima</w:t>
      </w:r>
      <w:proofErr w:type="spellEnd"/>
      <w:r w:rsidRPr="00494588">
        <w:rPr>
          <w:bCs/>
          <w:sz w:val="24"/>
          <w:szCs w:val="24"/>
          <w:lang w:val="en-US"/>
        </w:rPr>
        <w:t xml:space="preserve">, a </w:t>
      </w:r>
      <w:proofErr w:type="spellStart"/>
      <w:r w:rsidRPr="00494588">
        <w:rPr>
          <w:bCs/>
          <w:sz w:val="24"/>
          <w:szCs w:val="24"/>
          <w:lang w:val="en-US"/>
        </w:rPr>
        <w:t>samim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494588">
        <w:rPr>
          <w:bCs/>
          <w:sz w:val="24"/>
          <w:szCs w:val="24"/>
          <w:lang w:val="en-US"/>
        </w:rPr>
        <w:t>tim</w:t>
      </w:r>
      <w:proofErr w:type="spellEnd"/>
      <w:proofErr w:type="gram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i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programima</w:t>
      </w:r>
      <w:proofErr w:type="spellEnd"/>
      <w:r w:rsidRPr="00494588">
        <w:rPr>
          <w:bCs/>
          <w:sz w:val="24"/>
          <w:szCs w:val="24"/>
          <w:lang w:val="en-US"/>
        </w:rPr>
        <w:t xml:space="preserve">, </w:t>
      </w:r>
      <w:r>
        <w:rPr>
          <w:bCs/>
          <w:sz w:val="24"/>
          <w:szCs w:val="24"/>
          <w:lang w:val="en-US"/>
        </w:rPr>
        <w:t>je</w:t>
      </w:r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Ured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direktora</w:t>
      </w:r>
      <w:proofErr w:type="spellEnd"/>
      <w:r w:rsidRPr="00494588">
        <w:rPr>
          <w:bCs/>
          <w:sz w:val="24"/>
          <w:szCs w:val="24"/>
          <w:lang w:val="en-US"/>
        </w:rPr>
        <w:t xml:space="preserve">. </w:t>
      </w:r>
    </w:p>
    <w:p w:rsidR="00767BCA" w:rsidRPr="00767BCA" w:rsidRDefault="00494588" w:rsidP="00494588">
      <w:pPr>
        <w:jc w:val="both"/>
        <w:rPr>
          <w:b/>
          <w:bCs/>
          <w:sz w:val="24"/>
          <w:szCs w:val="24"/>
        </w:rPr>
      </w:pPr>
      <w:proofErr w:type="spellStart"/>
      <w:r w:rsidRPr="00494588">
        <w:rPr>
          <w:bCs/>
          <w:sz w:val="24"/>
          <w:szCs w:val="24"/>
          <w:lang w:val="en-US"/>
        </w:rPr>
        <w:t>Za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realizaciju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programa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i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pripadajućih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projekata</w:t>
      </w:r>
      <w:proofErr w:type="spellEnd"/>
      <w:r w:rsidRPr="00494588">
        <w:rPr>
          <w:bCs/>
          <w:sz w:val="24"/>
          <w:szCs w:val="24"/>
          <w:lang w:val="en-US"/>
        </w:rPr>
        <w:t xml:space="preserve">, a u </w:t>
      </w:r>
      <w:proofErr w:type="spellStart"/>
      <w:r w:rsidRPr="00494588">
        <w:rPr>
          <w:bCs/>
          <w:sz w:val="24"/>
          <w:szCs w:val="24"/>
          <w:lang w:val="en-US"/>
        </w:rPr>
        <w:t>cilju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implementacije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postavljenog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srednjoročnog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i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specifičnih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ciljeva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definisanih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Srednjoročnim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planom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rada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="00767BCA">
        <w:rPr>
          <w:bCs/>
          <w:sz w:val="24"/>
          <w:szCs w:val="24"/>
          <w:lang w:val="en-US"/>
        </w:rPr>
        <w:t>Agencije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za</w:t>
      </w:r>
      <w:proofErr w:type="spellEnd"/>
      <w:r w:rsidRPr="00494588">
        <w:rPr>
          <w:bCs/>
          <w:sz w:val="24"/>
          <w:szCs w:val="24"/>
          <w:lang w:val="en-US"/>
        </w:rPr>
        <w:t xml:space="preserve"> period 201</w:t>
      </w:r>
      <w:r w:rsidR="00FB7E48">
        <w:rPr>
          <w:bCs/>
          <w:sz w:val="24"/>
          <w:szCs w:val="24"/>
          <w:lang w:val="en-US"/>
        </w:rPr>
        <w:t>7</w:t>
      </w:r>
      <w:r w:rsidRPr="00494588">
        <w:rPr>
          <w:bCs/>
          <w:sz w:val="24"/>
          <w:szCs w:val="24"/>
          <w:lang w:val="en-US"/>
        </w:rPr>
        <w:t>.-201</w:t>
      </w:r>
      <w:r w:rsidR="00FB7E48">
        <w:rPr>
          <w:bCs/>
          <w:sz w:val="24"/>
          <w:szCs w:val="24"/>
          <w:lang w:val="en-US"/>
        </w:rPr>
        <w:t>9</w:t>
      </w:r>
      <w:r w:rsidRPr="00494588">
        <w:rPr>
          <w:bCs/>
          <w:sz w:val="24"/>
          <w:szCs w:val="24"/>
          <w:lang w:val="en-US"/>
        </w:rPr>
        <w:t xml:space="preserve">., </w:t>
      </w:r>
      <w:proofErr w:type="spellStart"/>
      <w:r w:rsidRPr="00494588">
        <w:rPr>
          <w:bCs/>
          <w:sz w:val="24"/>
          <w:szCs w:val="24"/>
          <w:lang w:val="en-US"/>
        </w:rPr>
        <w:t>planirano</w:t>
      </w:r>
      <w:proofErr w:type="spellEnd"/>
      <w:r w:rsidRPr="00494588">
        <w:rPr>
          <w:bCs/>
          <w:sz w:val="24"/>
          <w:szCs w:val="24"/>
          <w:lang w:val="en-US"/>
        </w:rPr>
        <w:t xml:space="preserve"> je </w:t>
      </w:r>
      <w:proofErr w:type="spellStart"/>
      <w:r w:rsidRPr="00494588">
        <w:rPr>
          <w:bCs/>
          <w:sz w:val="24"/>
          <w:szCs w:val="24"/>
          <w:lang w:val="en-US"/>
        </w:rPr>
        <w:t>ukupno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r w:rsidR="00767BCA">
        <w:rPr>
          <w:bCs/>
          <w:sz w:val="24"/>
          <w:szCs w:val="24"/>
          <w:lang w:val="en-US"/>
        </w:rPr>
        <w:t>3.</w:t>
      </w:r>
      <w:r w:rsidR="00FB7E48">
        <w:rPr>
          <w:bCs/>
          <w:sz w:val="24"/>
          <w:szCs w:val="24"/>
          <w:lang w:val="en-US"/>
        </w:rPr>
        <w:t>758</w:t>
      </w:r>
      <w:r w:rsidRPr="00494588">
        <w:rPr>
          <w:bCs/>
          <w:sz w:val="24"/>
          <w:szCs w:val="24"/>
          <w:lang w:val="en-US"/>
        </w:rPr>
        <w:t xml:space="preserve">.000 KM </w:t>
      </w:r>
      <w:proofErr w:type="spellStart"/>
      <w:r w:rsidRPr="00494588">
        <w:rPr>
          <w:bCs/>
          <w:sz w:val="24"/>
          <w:szCs w:val="24"/>
          <w:lang w:val="en-US"/>
        </w:rPr>
        <w:t>sredstava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iz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budžeta</w:t>
      </w:r>
      <w:proofErr w:type="spellEnd"/>
      <w:r w:rsidRPr="00494588">
        <w:rPr>
          <w:bCs/>
          <w:sz w:val="24"/>
          <w:szCs w:val="24"/>
          <w:lang w:val="en-US"/>
        </w:rPr>
        <w:t xml:space="preserve">. U </w:t>
      </w:r>
      <w:proofErr w:type="spellStart"/>
      <w:r w:rsidRPr="00494588">
        <w:rPr>
          <w:bCs/>
          <w:sz w:val="24"/>
          <w:szCs w:val="24"/>
          <w:lang w:val="en-US"/>
        </w:rPr>
        <w:t>ovom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trogodišnjem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periodu</w:t>
      </w:r>
      <w:proofErr w:type="spellEnd"/>
      <w:r w:rsidRPr="00494588">
        <w:rPr>
          <w:bCs/>
          <w:sz w:val="24"/>
          <w:szCs w:val="24"/>
          <w:lang w:val="en-US"/>
        </w:rPr>
        <w:t xml:space="preserve">, </w:t>
      </w:r>
      <w:proofErr w:type="spellStart"/>
      <w:r w:rsidR="00767BCA">
        <w:rPr>
          <w:bCs/>
          <w:sz w:val="24"/>
          <w:szCs w:val="24"/>
          <w:lang w:val="en-US"/>
        </w:rPr>
        <w:t>planirana</w:t>
      </w:r>
      <w:proofErr w:type="spellEnd"/>
      <w:r w:rsidR="00767BCA">
        <w:rPr>
          <w:bCs/>
          <w:sz w:val="24"/>
          <w:szCs w:val="24"/>
          <w:lang w:val="en-US"/>
        </w:rPr>
        <w:t xml:space="preserve"> je </w:t>
      </w:r>
      <w:proofErr w:type="spellStart"/>
      <w:proofErr w:type="gramStart"/>
      <w:r w:rsidR="00274502">
        <w:rPr>
          <w:bCs/>
          <w:sz w:val="24"/>
          <w:szCs w:val="24"/>
          <w:lang w:val="en-US"/>
        </w:rPr>
        <w:t>i</w:t>
      </w:r>
      <w:proofErr w:type="spellEnd"/>
      <w:r w:rsidR="00767BCA">
        <w:rPr>
          <w:bCs/>
          <w:sz w:val="24"/>
          <w:szCs w:val="24"/>
          <w:lang w:val="en-US"/>
        </w:rPr>
        <w:t xml:space="preserve">  </w:t>
      </w:r>
      <w:r w:rsidR="00767BCA" w:rsidRPr="00767BCA">
        <w:rPr>
          <w:bCs/>
          <w:sz w:val="24"/>
          <w:szCs w:val="24"/>
        </w:rPr>
        <w:t>donacija</w:t>
      </w:r>
      <w:proofErr w:type="gramEnd"/>
      <w:r w:rsidR="00767BCA" w:rsidRPr="00767BCA">
        <w:rPr>
          <w:bCs/>
          <w:sz w:val="24"/>
          <w:szCs w:val="24"/>
        </w:rPr>
        <w:t xml:space="preserve"> GIZ bez </w:t>
      </w:r>
      <w:r w:rsidR="00767BCA">
        <w:rPr>
          <w:bCs/>
          <w:sz w:val="24"/>
          <w:szCs w:val="24"/>
        </w:rPr>
        <w:t>trenutnih podataka o finansijskim.</w:t>
      </w:r>
    </w:p>
    <w:p w:rsidR="00274502" w:rsidRPr="00C177AD" w:rsidRDefault="00274502" w:rsidP="00274502">
      <w:pPr>
        <w:pStyle w:val="Heading2"/>
        <w:spacing w:before="0"/>
        <w:rPr>
          <w:rFonts w:ascii="Times New Roman" w:hAnsi="Times New Roman" w:cs="Times New Roman"/>
          <w:color w:val="365F91" w:themeColor="accent1" w:themeShade="BF"/>
        </w:rPr>
      </w:pPr>
      <w:bookmarkStart w:id="16" w:name="_Toc438565174"/>
      <w:r>
        <w:rPr>
          <w:rFonts w:ascii="Times New Roman" w:hAnsi="Times New Roman" w:cs="Times New Roman"/>
          <w:color w:val="365F91" w:themeColor="accent1" w:themeShade="BF"/>
        </w:rPr>
        <w:t>5</w:t>
      </w:r>
      <w:r w:rsidRPr="00C177AD">
        <w:rPr>
          <w:rFonts w:ascii="Times New Roman" w:hAnsi="Times New Roman" w:cs="Times New Roman"/>
          <w:color w:val="365F91" w:themeColor="accent1" w:themeShade="BF"/>
        </w:rPr>
        <w:t>.</w:t>
      </w:r>
      <w:r>
        <w:rPr>
          <w:rFonts w:ascii="Times New Roman" w:hAnsi="Times New Roman" w:cs="Times New Roman"/>
          <w:color w:val="365F91" w:themeColor="accent1" w:themeShade="BF"/>
        </w:rPr>
        <w:t>2</w:t>
      </w:r>
      <w:r w:rsidRPr="00C177AD">
        <w:rPr>
          <w:rFonts w:ascii="Times New Roman" w:hAnsi="Times New Roman" w:cs="Times New Roman"/>
          <w:color w:val="365F91" w:themeColor="accent1" w:themeShade="BF"/>
        </w:rPr>
        <w:t xml:space="preserve">. </w:t>
      </w:r>
      <w:proofErr w:type="spellStart"/>
      <w:r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Organizacioni</w:t>
      </w:r>
      <w:proofErr w:type="spellEnd"/>
      <w:r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kapaciteti</w:t>
      </w:r>
      <w:bookmarkEnd w:id="16"/>
      <w:proofErr w:type="spellEnd"/>
    </w:p>
    <w:p w:rsidR="00274502" w:rsidRDefault="00274502" w:rsidP="00274502">
      <w:pPr>
        <w:spacing w:after="0"/>
        <w:jc w:val="both"/>
        <w:rPr>
          <w:b/>
          <w:bCs/>
          <w:sz w:val="24"/>
          <w:szCs w:val="24"/>
          <w:lang w:val="en-US"/>
        </w:rPr>
      </w:pPr>
    </w:p>
    <w:p w:rsidR="00494588" w:rsidRPr="00394B08" w:rsidRDefault="00274502" w:rsidP="00494588">
      <w:pPr>
        <w:jc w:val="both"/>
        <w:rPr>
          <w:bCs/>
          <w:sz w:val="24"/>
          <w:szCs w:val="24"/>
        </w:rPr>
      </w:pPr>
      <w:proofErr w:type="spellStart"/>
      <w:r w:rsidRPr="00394B08">
        <w:rPr>
          <w:bCs/>
          <w:sz w:val="24"/>
          <w:szCs w:val="24"/>
          <w:lang w:val="en-US"/>
        </w:rPr>
        <w:t>Agencija</w:t>
      </w:r>
      <w:proofErr w:type="spellEnd"/>
      <w:r w:rsidR="00494588" w:rsidRPr="00394B08">
        <w:rPr>
          <w:bCs/>
          <w:sz w:val="24"/>
          <w:szCs w:val="24"/>
          <w:lang w:val="en-US"/>
        </w:rPr>
        <w:t xml:space="preserve"> </w:t>
      </w:r>
      <w:proofErr w:type="spellStart"/>
      <w:r w:rsidR="00494588" w:rsidRPr="00394B08">
        <w:rPr>
          <w:bCs/>
          <w:sz w:val="24"/>
          <w:szCs w:val="24"/>
          <w:lang w:val="en-US"/>
        </w:rPr>
        <w:t>trenutno</w:t>
      </w:r>
      <w:proofErr w:type="spellEnd"/>
      <w:r w:rsidR="00494588" w:rsidRPr="00394B08">
        <w:rPr>
          <w:bCs/>
          <w:sz w:val="24"/>
          <w:szCs w:val="24"/>
          <w:lang w:val="en-US"/>
        </w:rPr>
        <w:t xml:space="preserve"> </w:t>
      </w:r>
      <w:proofErr w:type="spellStart"/>
      <w:r w:rsidR="00494588" w:rsidRPr="00394B08">
        <w:rPr>
          <w:bCs/>
          <w:sz w:val="24"/>
          <w:szCs w:val="24"/>
          <w:lang w:val="en-US"/>
        </w:rPr>
        <w:t>upošljava</w:t>
      </w:r>
      <w:proofErr w:type="spellEnd"/>
      <w:r w:rsidR="00494588" w:rsidRPr="00394B08">
        <w:rPr>
          <w:bCs/>
          <w:sz w:val="24"/>
          <w:szCs w:val="24"/>
          <w:lang w:val="en-US"/>
        </w:rPr>
        <w:t xml:space="preserve"> </w:t>
      </w:r>
      <w:r w:rsidRPr="00394B08">
        <w:rPr>
          <w:bCs/>
          <w:sz w:val="24"/>
          <w:szCs w:val="24"/>
          <w:lang w:val="en-US"/>
        </w:rPr>
        <w:t>24</w:t>
      </w:r>
      <w:r w:rsidR="00494588" w:rsidRPr="00394B08">
        <w:rPr>
          <w:bCs/>
          <w:sz w:val="24"/>
          <w:szCs w:val="24"/>
          <w:lang w:val="en-US"/>
        </w:rPr>
        <w:t xml:space="preserve"> </w:t>
      </w:r>
      <w:proofErr w:type="spellStart"/>
      <w:r w:rsidR="00494588" w:rsidRPr="00394B08">
        <w:rPr>
          <w:bCs/>
          <w:sz w:val="24"/>
          <w:szCs w:val="24"/>
          <w:lang w:val="en-US"/>
        </w:rPr>
        <w:t>zaposlena</w:t>
      </w:r>
      <w:proofErr w:type="spellEnd"/>
      <w:r w:rsidR="00494588" w:rsidRPr="00394B08">
        <w:rPr>
          <w:bCs/>
          <w:sz w:val="24"/>
          <w:szCs w:val="24"/>
          <w:lang w:val="en-US"/>
        </w:rPr>
        <w:t xml:space="preserve">, </w:t>
      </w:r>
      <w:proofErr w:type="spellStart"/>
      <w:r w:rsidR="00494588" w:rsidRPr="00394B08">
        <w:rPr>
          <w:bCs/>
          <w:sz w:val="24"/>
          <w:szCs w:val="24"/>
          <w:lang w:val="en-US"/>
        </w:rPr>
        <w:t>što</w:t>
      </w:r>
      <w:proofErr w:type="spellEnd"/>
      <w:r w:rsidR="00494588" w:rsidRPr="00394B08">
        <w:rPr>
          <w:bCs/>
          <w:sz w:val="24"/>
          <w:szCs w:val="24"/>
          <w:lang w:val="en-US"/>
        </w:rPr>
        <w:t xml:space="preserve"> </w:t>
      </w:r>
      <w:proofErr w:type="spellStart"/>
      <w:r w:rsidR="00494588" w:rsidRPr="00394B08">
        <w:rPr>
          <w:bCs/>
          <w:sz w:val="24"/>
          <w:szCs w:val="24"/>
          <w:lang w:val="en-US"/>
        </w:rPr>
        <w:t>čini</w:t>
      </w:r>
      <w:proofErr w:type="spellEnd"/>
      <w:r w:rsidR="00494588" w:rsidRPr="00394B08">
        <w:rPr>
          <w:bCs/>
          <w:sz w:val="24"/>
          <w:szCs w:val="24"/>
          <w:lang w:val="en-US"/>
        </w:rPr>
        <w:t xml:space="preserve"> 7</w:t>
      </w:r>
      <w:r w:rsidR="00710C49" w:rsidRPr="00394B08">
        <w:rPr>
          <w:bCs/>
          <w:sz w:val="24"/>
          <w:szCs w:val="24"/>
          <w:lang w:val="en-US"/>
        </w:rPr>
        <w:t>5</w:t>
      </w:r>
      <w:r w:rsidR="00494588" w:rsidRPr="00394B08">
        <w:rPr>
          <w:bCs/>
          <w:sz w:val="24"/>
          <w:szCs w:val="24"/>
          <w:lang w:val="en-US"/>
        </w:rPr>
        <w:t xml:space="preserve">% </w:t>
      </w:r>
      <w:proofErr w:type="spellStart"/>
      <w:r w:rsidR="00494588" w:rsidRPr="00394B08">
        <w:rPr>
          <w:bCs/>
          <w:sz w:val="24"/>
          <w:szCs w:val="24"/>
          <w:lang w:val="en-US"/>
        </w:rPr>
        <w:t>od</w:t>
      </w:r>
      <w:proofErr w:type="spellEnd"/>
      <w:r w:rsidR="00494588" w:rsidRPr="00394B08">
        <w:rPr>
          <w:bCs/>
          <w:sz w:val="24"/>
          <w:szCs w:val="24"/>
          <w:lang w:val="en-US"/>
        </w:rPr>
        <w:t xml:space="preserve"> </w:t>
      </w:r>
      <w:proofErr w:type="spellStart"/>
      <w:r w:rsidR="00494588" w:rsidRPr="00394B08">
        <w:rPr>
          <w:bCs/>
          <w:sz w:val="24"/>
          <w:szCs w:val="24"/>
          <w:lang w:val="en-US"/>
        </w:rPr>
        <w:t>planiranog</w:t>
      </w:r>
      <w:proofErr w:type="spellEnd"/>
      <w:r w:rsidR="00494588" w:rsidRPr="00394B08">
        <w:rPr>
          <w:bCs/>
          <w:sz w:val="24"/>
          <w:szCs w:val="24"/>
          <w:lang w:val="en-US"/>
        </w:rPr>
        <w:t xml:space="preserve"> </w:t>
      </w:r>
      <w:proofErr w:type="spellStart"/>
      <w:r w:rsidR="00494588" w:rsidRPr="00394B08">
        <w:rPr>
          <w:bCs/>
          <w:sz w:val="24"/>
          <w:szCs w:val="24"/>
          <w:lang w:val="en-US"/>
        </w:rPr>
        <w:t>broja</w:t>
      </w:r>
      <w:proofErr w:type="spellEnd"/>
      <w:r w:rsidR="00494588" w:rsidRPr="00394B08">
        <w:rPr>
          <w:bCs/>
          <w:sz w:val="24"/>
          <w:szCs w:val="24"/>
          <w:lang w:val="en-US"/>
        </w:rPr>
        <w:t xml:space="preserve"> </w:t>
      </w:r>
      <w:proofErr w:type="spellStart"/>
      <w:r w:rsidR="00494588" w:rsidRPr="00394B08">
        <w:rPr>
          <w:bCs/>
          <w:sz w:val="24"/>
          <w:szCs w:val="24"/>
          <w:lang w:val="en-US"/>
        </w:rPr>
        <w:t>zaposlenih</w:t>
      </w:r>
      <w:proofErr w:type="spellEnd"/>
      <w:r w:rsidR="00494588" w:rsidRPr="00394B08">
        <w:rPr>
          <w:bCs/>
          <w:sz w:val="24"/>
          <w:szCs w:val="24"/>
          <w:lang w:val="en-US"/>
        </w:rPr>
        <w:t xml:space="preserve"> </w:t>
      </w:r>
      <w:proofErr w:type="spellStart"/>
      <w:r w:rsidR="00494588" w:rsidRPr="00394B08">
        <w:rPr>
          <w:bCs/>
          <w:sz w:val="24"/>
          <w:szCs w:val="24"/>
          <w:lang w:val="en-US"/>
        </w:rPr>
        <w:t>prema</w:t>
      </w:r>
      <w:proofErr w:type="spellEnd"/>
      <w:r w:rsidR="00494588" w:rsidRPr="00394B08">
        <w:rPr>
          <w:bCs/>
          <w:sz w:val="24"/>
          <w:szCs w:val="24"/>
          <w:lang w:val="en-US"/>
        </w:rPr>
        <w:t xml:space="preserve"> </w:t>
      </w:r>
      <w:proofErr w:type="spellStart"/>
      <w:r w:rsidR="00494588" w:rsidRPr="00394B08">
        <w:rPr>
          <w:bCs/>
          <w:sz w:val="24"/>
          <w:szCs w:val="24"/>
          <w:lang w:val="en-US"/>
        </w:rPr>
        <w:t>Pravilniku</w:t>
      </w:r>
      <w:proofErr w:type="spellEnd"/>
      <w:r w:rsidR="00494588" w:rsidRPr="00394B08">
        <w:rPr>
          <w:bCs/>
          <w:sz w:val="24"/>
          <w:szCs w:val="24"/>
          <w:lang w:val="en-US"/>
        </w:rPr>
        <w:t xml:space="preserve"> o </w:t>
      </w:r>
      <w:proofErr w:type="spellStart"/>
      <w:r w:rsidR="00494588" w:rsidRPr="00394B08">
        <w:rPr>
          <w:bCs/>
          <w:sz w:val="24"/>
          <w:szCs w:val="24"/>
          <w:lang w:val="en-US"/>
        </w:rPr>
        <w:t>unutrašnjoj</w:t>
      </w:r>
      <w:proofErr w:type="spellEnd"/>
      <w:r w:rsidR="00494588" w:rsidRPr="00394B08">
        <w:rPr>
          <w:bCs/>
          <w:sz w:val="24"/>
          <w:szCs w:val="24"/>
          <w:lang w:val="en-US"/>
        </w:rPr>
        <w:t xml:space="preserve"> </w:t>
      </w:r>
      <w:proofErr w:type="spellStart"/>
      <w:r w:rsidR="00494588" w:rsidRPr="00394B08">
        <w:rPr>
          <w:bCs/>
          <w:sz w:val="24"/>
          <w:szCs w:val="24"/>
          <w:lang w:val="en-US"/>
        </w:rPr>
        <w:t>organizaciji</w:t>
      </w:r>
      <w:proofErr w:type="spellEnd"/>
      <w:r w:rsidR="00494588" w:rsidRPr="00394B08">
        <w:rPr>
          <w:bCs/>
          <w:sz w:val="24"/>
          <w:szCs w:val="24"/>
          <w:lang w:val="en-US"/>
        </w:rPr>
        <w:t xml:space="preserve"> </w:t>
      </w:r>
      <w:proofErr w:type="spellStart"/>
      <w:r w:rsidR="001B2AE1" w:rsidRPr="00394B08">
        <w:rPr>
          <w:bCs/>
          <w:sz w:val="24"/>
          <w:szCs w:val="24"/>
          <w:lang w:val="en-US"/>
        </w:rPr>
        <w:t>Agencije</w:t>
      </w:r>
      <w:proofErr w:type="spellEnd"/>
      <w:r w:rsidR="001B2AE1" w:rsidRPr="00394B08">
        <w:rPr>
          <w:bCs/>
          <w:sz w:val="24"/>
          <w:szCs w:val="24"/>
          <w:lang w:val="en-US"/>
        </w:rPr>
        <w:t xml:space="preserve"> </w:t>
      </w:r>
      <w:proofErr w:type="spellStart"/>
      <w:r w:rsidR="001B2AE1" w:rsidRPr="00394B08">
        <w:rPr>
          <w:bCs/>
          <w:sz w:val="24"/>
          <w:szCs w:val="24"/>
          <w:lang w:val="en-US"/>
        </w:rPr>
        <w:t>za</w:t>
      </w:r>
      <w:proofErr w:type="spellEnd"/>
      <w:r w:rsidR="001B2AE1" w:rsidRPr="00394B08">
        <w:rPr>
          <w:bCs/>
          <w:sz w:val="24"/>
          <w:szCs w:val="24"/>
          <w:lang w:val="en-US"/>
        </w:rPr>
        <w:t xml:space="preserve"> </w:t>
      </w:r>
      <w:proofErr w:type="spellStart"/>
      <w:r w:rsidR="001B2AE1" w:rsidRPr="00394B08">
        <w:rPr>
          <w:bCs/>
          <w:sz w:val="24"/>
          <w:szCs w:val="24"/>
          <w:lang w:val="en-US"/>
        </w:rPr>
        <w:t>javne</w:t>
      </w:r>
      <w:proofErr w:type="spellEnd"/>
      <w:r w:rsidR="001B2AE1" w:rsidRPr="00394B08">
        <w:rPr>
          <w:bCs/>
          <w:sz w:val="24"/>
          <w:szCs w:val="24"/>
          <w:lang w:val="en-US"/>
        </w:rPr>
        <w:t xml:space="preserve"> </w:t>
      </w:r>
      <w:proofErr w:type="spellStart"/>
      <w:r w:rsidR="001B2AE1" w:rsidRPr="00394B08">
        <w:rPr>
          <w:bCs/>
          <w:sz w:val="24"/>
          <w:szCs w:val="24"/>
          <w:lang w:val="en-US"/>
        </w:rPr>
        <w:t>nabavke</w:t>
      </w:r>
      <w:proofErr w:type="spellEnd"/>
      <w:r w:rsidR="00494588" w:rsidRPr="00394B08">
        <w:rPr>
          <w:bCs/>
          <w:sz w:val="24"/>
          <w:szCs w:val="24"/>
          <w:lang w:val="en-US"/>
        </w:rPr>
        <w:t xml:space="preserve"> </w:t>
      </w:r>
      <w:proofErr w:type="spellStart"/>
      <w:r w:rsidR="00494588" w:rsidRPr="00394B08">
        <w:rPr>
          <w:bCs/>
          <w:sz w:val="24"/>
          <w:szCs w:val="24"/>
          <w:lang w:val="en-US"/>
        </w:rPr>
        <w:t>BiH</w:t>
      </w:r>
      <w:proofErr w:type="spellEnd"/>
      <w:r w:rsidR="00394B08" w:rsidRPr="00394B08">
        <w:rPr>
          <w:bCs/>
          <w:sz w:val="24"/>
          <w:szCs w:val="24"/>
        </w:rPr>
        <w:t>, broj: 01-50-430-6/08 od 24.04.2008.godine i broj: 01-50-430-6-1/08 od 11.02.2010.godine</w:t>
      </w:r>
      <w:r w:rsidR="00494588" w:rsidRPr="00394B08">
        <w:rPr>
          <w:bCs/>
          <w:sz w:val="24"/>
          <w:szCs w:val="24"/>
          <w:lang w:val="en-US"/>
        </w:rPr>
        <w:t xml:space="preserve">. U </w:t>
      </w:r>
      <w:proofErr w:type="spellStart"/>
      <w:r w:rsidR="00494588" w:rsidRPr="00394B08">
        <w:rPr>
          <w:bCs/>
          <w:sz w:val="24"/>
          <w:szCs w:val="24"/>
          <w:lang w:val="en-US"/>
        </w:rPr>
        <w:t>narednom</w:t>
      </w:r>
      <w:proofErr w:type="spellEnd"/>
      <w:r w:rsidR="00494588" w:rsidRPr="00394B08">
        <w:rPr>
          <w:bCs/>
          <w:sz w:val="24"/>
          <w:szCs w:val="24"/>
          <w:lang w:val="en-US"/>
        </w:rPr>
        <w:t xml:space="preserve"> </w:t>
      </w:r>
      <w:proofErr w:type="spellStart"/>
      <w:r w:rsidR="00494588" w:rsidRPr="00394B08">
        <w:rPr>
          <w:bCs/>
          <w:sz w:val="24"/>
          <w:szCs w:val="24"/>
          <w:lang w:val="en-US"/>
        </w:rPr>
        <w:t>periodu</w:t>
      </w:r>
      <w:proofErr w:type="spellEnd"/>
      <w:r w:rsidR="00494588" w:rsidRPr="00394B08">
        <w:rPr>
          <w:bCs/>
          <w:sz w:val="24"/>
          <w:szCs w:val="24"/>
          <w:lang w:val="en-US"/>
        </w:rPr>
        <w:t xml:space="preserve"> se </w:t>
      </w:r>
      <w:proofErr w:type="spellStart"/>
      <w:r w:rsidR="00494588" w:rsidRPr="00394B08">
        <w:rPr>
          <w:bCs/>
          <w:sz w:val="24"/>
          <w:szCs w:val="24"/>
          <w:lang w:val="en-US"/>
        </w:rPr>
        <w:t>očekuje</w:t>
      </w:r>
      <w:proofErr w:type="spellEnd"/>
      <w:r w:rsidR="00494588" w:rsidRPr="00394B08">
        <w:rPr>
          <w:bCs/>
          <w:sz w:val="24"/>
          <w:szCs w:val="24"/>
          <w:lang w:val="en-US"/>
        </w:rPr>
        <w:t xml:space="preserve"> </w:t>
      </w:r>
      <w:proofErr w:type="spellStart"/>
      <w:r w:rsidR="00494588" w:rsidRPr="00394B08">
        <w:rPr>
          <w:bCs/>
          <w:sz w:val="24"/>
          <w:szCs w:val="24"/>
          <w:lang w:val="en-US"/>
        </w:rPr>
        <w:t>prilagođavanje</w:t>
      </w:r>
      <w:proofErr w:type="spellEnd"/>
      <w:r w:rsidR="00494588" w:rsidRPr="00394B08">
        <w:rPr>
          <w:bCs/>
          <w:sz w:val="24"/>
          <w:szCs w:val="24"/>
          <w:lang w:val="en-US"/>
        </w:rPr>
        <w:t xml:space="preserve"> </w:t>
      </w:r>
      <w:proofErr w:type="spellStart"/>
      <w:r w:rsidR="00494588" w:rsidRPr="00394B08">
        <w:rPr>
          <w:bCs/>
          <w:sz w:val="24"/>
          <w:szCs w:val="24"/>
          <w:lang w:val="en-US"/>
        </w:rPr>
        <w:t>unutrašnje</w:t>
      </w:r>
      <w:proofErr w:type="spellEnd"/>
      <w:r w:rsidR="00494588" w:rsidRPr="00394B08">
        <w:rPr>
          <w:bCs/>
          <w:sz w:val="24"/>
          <w:szCs w:val="24"/>
          <w:lang w:val="en-US"/>
        </w:rPr>
        <w:t xml:space="preserve"> </w:t>
      </w:r>
      <w:proofErr w:type="spellStart"/>
      <w:r w:rsidR="00494588" w:rsidRPr="00394B08">
        <w:rPr>
          <w:bCs/>
          <w:sz w:val="24"/>
          <w:szCs w:val="24"/>
          <w:lang w:val="en-US"/>
        </w:rPr>
        <w:t>organizacione</w:t>
      </w:r>
      <w:proofErr w:type="spellEnd"/>
      <w:r w:rsidR="00494588" w:rsidRPr="00394B08">
        <w:rPr>
          <w:bCs/>
          <w:sz w:val="24"/>
          <w:szCs w:val="24"/>
          <w:lang w:val="en-US"/>
        </w:rPr>
        <w:t xml:space="preserve"> </w:t>
      </w:r>
      <w:proofErr w:type="spellStart"/>
      <w:r w:rsidR="00494588" w:rsidRPr="00394B08">
        <w:rPr>
          <w:bCs/>
          <w:sz w:val="24"/>
          <w:szCs w:val="24"/>
          <w:lang w:val="en-US"/>
        </w:rPr>
        <w:t>strukture</w:t>
      </w:r>
      <w:proofErr w:type="spellEnd"/>
      <w:r w:rsidR="00494588" w:rsidRPr="00394B08">
        <w:rPr>
          <w:bCs/>
          <w:sz w:val="24"/>
          <w:szCs w:val="24"/>
          <w:lang w:val="en-US"/>
        </w:rPr>
        <w:t xml:space="preserve"> u </w:t>
      </w:r>
      <w:proofErr w:type="spellStart"/>
      <w:r w:rsidR="00494588" w:rsidRPr="00394B08">
        <w:rPr>
          <w:bCs/>
          <w:sz w:val="24"/>
          <w:szCs w:val="24"/>
          <w:lang w:val="en-US"/>
        </w:rPr>
        <w:t>svrhu</w:t>
      </w:r>
      <w:proofErr w:type="spellEnd"/>
      <w:r w:rsidR="00494588" w:rsidRPr="00394B08">
        <w:rPr>
          <w:bCs/>
          <w:sz w:val="24"/>
          <w:szCs w:val="24"/>
          <w:lang w:val="en-US"/>
        </w:rPr>
        <w:t xml:space="preserve"> </w:t>
      </w:r>
      <w:proofErr w:type="spellStart"/>
      <w:r w:rsidR="00494588" w:rsidRPr="00394B08">
        <w:rPr>
          <w:bCs/>
          <w:sz w:val="24"/>
          <w:szCs w:val="24"/>
          <w:lang w:val="en-US"/>
        </w:rPr>
        <w:t>optimizacije</w:t>
      </w:r>
      <w:proofErr w:type="spellEnd"/>
      <w:r w:rsidR="00494588" w:rsidRPr="00394B08">
        <w:rPr>
          <w:bCs/>
          <w:sz w:val="24"/>
          <w:szCs w:val="24"/>
          <w:lang w:val="en-US"/>
        </w:rPr>
        <w:t xml:space="preserve"> </w:t>
      </w:r>
      <w:proofErr w:type="spellStart"/>
      <w:r w:rsidR="00494588" w:rsidRPr="00394B08">
        <w:rPr>
          <w:bCs/>
          <w:sz w:val="24"/>
          <w:szCs w:val="24"/>
          <w:lang w:val="en-US"/>
        </w:rPr>
        <w:t>procesa</w:t>
      </w:r>
      <w:proofErr w:type="spellEnd"/>
      <w:r w:rsidR="00494588" w:rsidRPr="00394B08">
        <w:rPr>
          <w:bCs/>
          <w:sz w:val="24"/>
          <w:szCs w:val="24"/>
          <w:lang w:val="en-US"/>
        </w:rPr>
        <w:t xml:space="preserve"> </w:t>
      </w:r>
      <w:proofErr w:type="spellStart"/>
      <w:r w:rsidR="00494588" w:rsidRPr="00394B08">
        <w:rPr>
          <w:bCs/>
          <w:sz w:val="24"/>
          <w:szCs w:val="24"/>
          <w:lang w:val="en-US"/>
        </w:rPr>
        <w:t>i</w:t>
      </w:r>
      <w:proofErr w:type="spellEnd"/>
      <w:r w:rsidR="00494588" w:rsidRPr="00394B08">
        <w:rPr>
          <w:bCs/>
          <w:sz w:val="24"/>
          <w:szCs w:val="24"/>
          <w:lang w:val="en-US"/>
        </w:rPr>
        <w:t xml:space="preserve"> </w:t>
      </w:r>
      <w:proofErr w:type="spellStart"/>
      <w:r w:rsidR="00494588" w:rsidRPr="00394B08">
        <w:rPr>
          <w:bCs/>
          <w:sz w:val="24"/>
          <w:szCs w:val="24"/>
          <w:lang w:val="en-US"/>
        </w:rPr>
        <w:t>zadataka</w:t>
      </w:r>
      <w:proofErr w:type="spellEnd"/>
      <w:r w:rsidR="00494588" w:rsidRPr="00394B08">
        <w:rPr>
          <w:bCs/>
          <w:sz w:val="24"/>
          <w:szCs w:val="24"/>
          <w:lang w:val="en-US"/>
        </w:rPr>
        <w:t xml:space="preserve">. </w:t>
      </w:r>
    </w:p>
    <w:p w:rsidR="00494588" w:rsidRDefault="00494588" w:rsidP="00494588">
      <w:pPr>
        <w:jc w:val="both"/>
        <w:rPr>
          <w:bCs/>
          <w:sz w:val="24"/>
          <w:szCs w:val="24"/>
          <w:lang w:val="en-US"/>
        </w:rPr>
      </w:pPr>
      <w:r w:rsidRPr="00494588">
        <w:rPr>
          <w:bCs/>
          <w:sz w:val="24"/>
          <w:szCs w:val="24"/>
          <w:lang w:val="en-US"/>
        </w:rPr>
        <w:t xml:space="preserve">U </w:t>
      </w:r>
      <w:proofErr w:type="spellStart"/>
      <w:r w:rsidRPr="00494588">
        <w:rPr>
          <w:bCs/>
          <w:sz w:val="24"/>
          <w:szCs w:val="24"/>
          <w:lang w:val="en-US"/>
        </w:rPr>
        <w:t>projektiranom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periodu</w:t>
      </w:r>
      <w:proofErr w:type="spellEnd"/>
      <w:r w:rsidRPr="00494588">
        <w:rPr>
          <w:bCs/>
          <w:sz w:val="24"/>
          <w:szCs w:val="24"/>
          <w:lang w:val="en-US"/>
        </w:rPr>
        <w:t xml:space="preserve"> (201</w:t>
      </w:r>
      <w:r w:rsidR="00FB7E48">
        <w:rPr>
          <w:bCs/>
          <w:sz w:val="24"/>
          <w:szCs w:val="24"/>
          <w:lang w:val="en-US"/>
        </w:rPr>
        <w:t>7</w:t>
      </w:r>
      <w:r w:rsidRPr="00494588">
        <w:rPr>
          <w:bCs/>
          <w:sz w:val="24"/>
          <w:szCs w:val="24"/>
          <w:lang w:val="en-US"/>
        </w:rPr>
        <w:t>. – 201</w:t>
      </w:r>
      <w:r w:rsidR="00FB7E48">
        <w:rPr>
          <w:bCs/>
          <w:sz w:val="24"/>
          <w:szCs w:val="24"/>
          <w:lang w:val="en-US"/>
        </w:rPr>
        <w:t>9</w:t>
      </w:r>
      <w:r w:rsidRPr="00494588">
        <w:rPr>
          <w:bCs/>
          <w:sz w:val="24"/>
          <w:szCs w:val="24"/>
          <w:lang w:val="en-US"/>
        </w:rPr>
        <w:t xml:space="preserve">.) </w:t>
      </w:r>
      <w:proofErr w:type="spellStart"/>
      <w:r w:rsidR="00274502">
        <w:rPr>
          <w:bCs/>
          <w:sz w:val="24"/>
          <w:szCs w:val="24"/>
          <w:lang w:val="en-US"/>
        </w:rPr>
        <w:t>Agencija</w:t>
      </w:r>
      <w:proofErr w:type="spellEnd"/>
      <w:r w:rsidR="00274502">
        <w:rPr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274502">
        <w:rPr>
          <w:bCs/>
          <w:sz w:val="24"/>
          <w:szCs w:val="24"/>
          <w:lang w:val="en-US"/>
        </w:rPr>
        <w:t>će</w:t>
      </w:r>
      <w:proofErr w:type="spellEnd"/>
      <w:proofErr w:type="gram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kontinuirano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raditi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na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jačanju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i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razvoju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kadrovskih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kapaciteta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kroz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redovne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obuke</w:t>
      </w:r>
      <w:proofErr w:type="spellEnd"/>
      <w:r w:rsidRPr="00494588">
        <w:rPr>
          <w:bCs/>
          <w:sz w:val="24"/>
          <w:szCs w:val="24"/>
          <w:lang w:val="en-US"/>
        </w:rPr>
        <w:t xml:space="preserve">, u </w:t>
      </w:r>
      <w:proofErr w:type="spellStart"/>
      <w:r w:rsidRPr="00494588">
        <w:rPr>
          <w:bCs/>
          <w:sz w:val="24"/>
          <w:szCs w:val="24"/>
          <w:lang w:val="en-US"/>
        </w:rPr>
        <w:t>organizaciji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Agencije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za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državnu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službu</w:t>
      </w:r>
      <w:proofErr w:type="spellEnd"/>
      <w:r w:rsidRPr="00494588">
        <w:rPr>
          <w:bCs/>
          <w:sz w:val="24"/>
          <w:szCs w:val="24"/>
          <w:lang w:val="en-US"/>
        </w:rPr>
        <w:t xml:space="preserve">, </w:t>
      </w:r>
      <w:proofErr w:type="spellStart"/>
      <w:r w:rsidRPr="00494588">
        <w:rPr>
          <w:bCs/>
          <w:sz w:val="24"/>
          <w:szCs w:val="24"/>
          <w:lang w:val="en-US"/>
        </w:rPr>
        <w:t>i</w:t>
      </w:r>
      <w:proofErr w:type="spellEnd"/>
      <w:r w:rsidRPr="00494588">
        <w:rPr>
          <w:bCs/>
          <w:sz w:val="24"/>
          <w:szCs w:val="24"/>
          <w:lang w:val="en-US"/>
        </w:rPr>
        <w:t>/</w:t>
      </w:r>
      <w:proofErr w:type="spellStart"/>
      <w:r w:rsidRPr="00494588">
        <w:rPr>
          <w:bCs/>
          <w:sz w:val="24"/>
          <w:szCs w:val="24"/>
          <w:lang w:val="en-US"/>
        </w:rPr>
        <w:t>ili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specijalizovane</w:t>
      </w:r>
      <w:proofErr w:type="spellEnd"/>
      <w:r w:rsidRPr="00494588">
        <w:rPr>
          <w:bCs/>
          <w:sz w:val="24"/>
          <w:szCs w:val="24"/>
          <w:lang w:val="en-US"/>
        </w:rPr>
        <w:t xml:space="preserve"> </w:t>
      </w:r>
      <w:proofErr w:type="spellStart"/>
      <w:r w:rsidRPr="00494588">
        <w:rPr>
          <w:bCs/>
          <w:sz w:val="24"/>
          <w:szCs w:val="24"/>
          <w:lang w:val="en-US"/>
        </w:rPr>
        <w:t>obuke</w:t>
      </w:r>
      <w:proofErr w:type="spellEnd"/>
      <w:r w:rsidRPr="00494588">
        <w:rPr>
          <w:bCs/>
          <w:sz w:val="24"/>
          <w:szCs w:val="24"/>
          <w:lang w:val="en-US"/>
        </w:rPr>
        <w:t>.</w:t>
      </w:r>
    </w:p>
    <w:p w:rsidR="00774000" w:rsidRDefault="00774000" w:rsidP="00494588">
      <w:pPr>
        <w:jc w:val="both"/>
        <w:rPr>
          <w:bCs/>
          <w:sz w:val="24"/>
          <w:szCs w:val="24"/>
        </w:rPr>
      </w:pPr>
    </w:p>
    <w:p w:rsidR="00710C49" w:rsidRPr="00DC72FB" w:rsidRDefault="00710C49" w:rsidP="00710C49">
      <w:pPr>
        <w:pStyle w:val="Heading1"/>
        <w:spacing w:before="0"/>
      </w:pPr>
      <w:bookmarkStart w:id="17" w:name="_Toc438565175"/>
      <w:r w:rsidRPr="00DC72FB">
        <w:t xml:space="preserve">Poglavlje </w:t>
      </w:r>
      <w:r>
        <w:t>6</w:t>
      </w:r>
      <w:r w:rsidRPr="00DC72FB">
        <w:t xml:space="preserve">: </w:t>
      </w:r>
      <w:proofErr w:type="spellStart"/>
      <w:r w:rsidRPr="001B2AE1">
        <w:rPr>
          <w:rFonts w:ascii="Cambria" w:hAnsi="Cambria" w:cs="Cambria"/>
          <w:bCs/>
          <w:lang w:val="en-US"/>
        </w:rPr>
        <w:t>Okvir</w:t>
      </w:r>
      <w:proofErr w:type="spellEnd"/>
      <w:r w:rsidRPr="001B2AE1">
        <w:rPr>
          <w:rFonts w:ascii="Cambria" w:hAnsi="Cambria" w:cs="Cambria"/>
          <w:bCs/>
          <w:lang w:val="en-US"/>
        </w:rPr>
        <w:t xml:space="preserve"> </w:t>
      </w:r>
      <w:proofErr w:type="spellStart"/>
      <w:r w:rsidRPr="001B2AE1">
        <w:rPr>
          <w:rFonts w:ascii="Cambria" w:hAnsi="Cambria" w:cs="Cambria"/>
          <w:bCs/>
          <w:lang w:val="en-US"/>
        </w:rPr>
        <w:t>za</w:t>
      </w:r>
      <w:proofErr w:type="spellEnd"/>
      <w:r w:rsidRPr="001B2AE1">
        <w:rPr>
          <w:rFonts w:ascii="Cambria" w:hAnsi="Cambria" w:cs="Cambria"/>
          <w:bCs/>
          <w:lang w:val="en-US"/>
        </w:rPr>
        <w:t xml:space="preserve"> </w:t>
      </w:r>
      <w:proofErr w:type="spellStart"/>
      <w:r w:rsidRPr="001B2AE1">
        <w:rPr>
          <w:rFonts w:ascii="Cambria" w:hAnsi="Cambria" w:cs="Cambria"/>
          <w:bCs/>
          <w:lang w:val="en-US"/>
        </w:rPr>
        <w:t>praćenje</w:t>
      </w:r>
      <w:proofErr w:type="spellEnd"/>
      <w:r w:rsidRPr="001B2AE1">
        <w:rPr>
          <w:rFonts w:ascii="Cambria" w:hAnsi="Cambria" w:cs="Cambria"/>
          <w:bCs/>
          <w:lang w:val="en-US"/>
        </w:rPr>
        <w:t xml:space="preserve"> </w:t>
      </w:r>
      <w:proofErr w:type="spellStart"/>
      <w:r w:rsidRPr="001B2AE1">
        <w:rPr>
          <w:rFonts w:ascii="Cambria" w:hAnsi="Cambria" w:cs="Cambria"/>
          <w:bCs/>
          <w:lang w:val="en-US"/>
        </w:rPr>
        <w:t>provođenja</w:t>
      </w:r>
      <w:proofErr w:type="spellEnd"/>
      <w:r w:rsidRPr="001B2AE1">
        <w:rPr>
          <w:rFonts w:ascii="Cambria" w:hAnsi="Cambria" w:cs="Cambria"/>
          <w:bCs/>
          <w:lang w:val="en-US"/>
        </w:rPr>
        <w:t xml:space="preserve"> </w:t>
      </w:r>
      <w:proofErr w:type="spellStart"/>
      <w:r w:rsidRPr="001B2AE1">
        <w:rPr>
          <w:rFonts w:ascii="Cambria" w:hAnsi="Cambria" w:cs="Cambria"/>
          <w:bCs/>
          <w:lang w:val="en-US"/>
        </w:rPr>
        <w:t>plana</w:t>
      </w:r>
      <w:proofErr w:type="spellEnd"/>
      <w:r w:rsidRPr="001B2AE1">
        <w:rPr>
          <w:rFonts w:ascii="Cambria" w:hAnsi="Cambria" w:cs="Cambria"/>
          <w:bCs/>
          <w:lang w:val="en-US"/>
        </w:rPr>
        <w:t xml:space="preserve"> </w:t>
      </w:r>
      <w:proofErr w:type="spellStart"/>
      <w:r w:rsidRPr="001B2AE1">
        <w:rPr>
          <w:rFonts w:ascii="Cambria" w:hAnsi="Cambria" w:cs="Cambria"/>
          <w:bCs/>
          <w:lang w:val="en-US"/>
        </w:rPr>
        <w:t>i</w:t>
      </w:r>
      <w:proofErr w:type="spellEnd"/>
      <w:r w:rsidRPr="001B2AE1">
        <w:rPr>
          <w:rFonts w:ascii="Cambria" w:hAnsi="Cambria" w:cs="Cambria"/>
          <w:bCs/>
          <w:lang w:val="en-US"/>
        </w:rPr>
        <w:t xml:space="preserve"> </w:t>
      </w:r>
      <w:proofErr w:type="spellStart"/>
      <w:r w:rsidRPr="001B2AE1">
        <w:rPr>
          <w:rFonts w:ascii="Cambria" w:hAnsi="Cambria" w:cs="Cambria"/>
          <w:bCs/>
          <w:lang w:val="en-US"/>
        </w:rPr>
        <w:t>evaluacija</w:t>
      </w:r>
      <w:proofErr w:type="spellEnd"/>
      <w:r w:rsidRPr="001B2AE1">
        <w:rPr>
          <w:rFonts w:ascii="Cambria" w:hAnsi="Cambria" w:cs="Cambria"/>
          <w:bCs/>
          <w:lang w:val="en-US"/>
        </w:rPr>
        <w:t xml:space="preserve"> </w:t>
      </w:r>
      <w:proofErr w:type="spellStart"/>
      <w:r w:rsidRPr="001B2AE1">
        <w:rPr>
          <w:rFonts w:ascii="Cambria" w:hAnsi="Cambria" w:cs="Cambria"/>
          <w:bCs/>
          <w:lang w:val="en-US"/>
        </w:rPr>
        <w:t>rezultata</w:t>
      </w:r>
      <w:bookmarkEnd w:id="17"/>
      <w:proofErr w:type="spellEnd"/>
    </w:p>
    <w:p w:rsidR="00710C49" w:rsidRPr="00710C49" w:rsidRDefault="00710C49" w:rsidP="00710C49">
      <w:pPr>
        <w:autoSpaceDE w:val="0"/>
        <w:autoSpaceDN w:val="0"/>
        <w:adjustRightInd w:val="0"/>
        <w:spacing w:after="0"/>
        <w:rPr>
          <w:rFonts w:ascii="Cambria" w:hAnsi="Cambria" w:cs="Cambria"/>
          <w:b/>
          <w:bCs/>
          <w:color w:val="000000"/>
          <w:sz w:val="24"/>
          <w:szCs w:val="24"/>
          <w:lang w:val="en-US"/>
        </w:rPr>
      </w:pPr>
    </w:p>
    <w:p w:rsidR="00710C49" w:rsidRDefault="001B2AE1" w:rsidP="00710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cilju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praćenja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aktivnosti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proofErr w:type="gram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implementaciji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srednjoročnog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cilja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evaluacije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rezultata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navedenom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periodu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utvrđeni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su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definirani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ključni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pokazatelji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uspjeha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rezultata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Sljedeći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primjer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pokazuje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kako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bi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izgledali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pokazatelji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proofErr w:type="gram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različitim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logičkim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nivoima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ciljeva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srednjoročnog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plana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710C49" w:rsidRDefault="00F64193" w:rsidP="00F64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308BE7E2" wp14:editId="024B84F9">
            <wp:extent cx="3676650" cy="3159150"/>
            <wp:effectExtent l="0" t="0" r="0" b="3175"/>
            <wp:docPr id="23" name="Picture 23" descr="C:\Users\mirsadsirbubalo\AppData\Local\Microsoft\Windows\Temporary Internet Files\Content.Word\New Doc 1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rsadsirbubalo\AppData\Local\Microsoft\Windows\Temporary Internet Files\Content.Word\New Doc 19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547" cy="316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C49" w:rsidRPr="001B2AE1" w:rsidRDefault="00710C49" w:rsidP="00710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B2AE1" w:rsidRDefault="001B2AE1" w:rsidP="001B2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Grafikon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1.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Vrste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pokazatelja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prema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hijerarhiji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ciljeva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srednjoročnog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plana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F64193" w:rsidRDefault="00F64193" w:rsidP="001B2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64193" w:rsidRPr="00C177AD" w:rsidRDefault="00F64193" w:rsidP="00F64193">
      <w:pPr>
        <w:pStyle w:val="Heading2"/>
        <w:spacing w:before="0"/>
        <w:rPr>
          <w:rFonts w:ascii="Times New Roman" w:hAnsi="Times New Roman" w:cs="Times New Roman"/>
          <w:color w:val="365F91" w:themeColor="accent1" w:themeShade="BF"/>
        </w:rPr>
      </w:pPr>
      <w:bookmarkStart w:id="18" w:name="_Toc438565176"/>
      <w:r>
        <w:rPr>
          <w:rFonts w:ascii="Times New Roman" w:hAnsi="Times New Roman" w:cs="Times New Roman"/>
          <w:color w:val="365F91" w:themeColor="accent1" w:themeShade="BF"/>
        </w:rPr>
        <w:t>6</w:t>
      </w:r>
      <w:r w:rsidRPr="00C177AD">
        <w:rPr>
          <w:rFonts w:ascii="Times New Roman" w:hAnsi="Times New Roman" w:cs="Times New Roman"/>
          <w:color w:val="365F91" w:themeColor="accent1" w:themeShade="BF"/>
        </w:rPr>
        <w:t>.</w:t>
      </w:r>
      <w:r>
        <w:rPr>
          <w:rFonts w:ascii="Times New Roman" w:hAnsi="Times New Roman" w:cs="Times New Roman"/>
          <w:color w:val="365F91" w:themeColor="accent1" w:themeShade="BF"/>
        </w:rPr>
        <w:t>1</w:t>
      </w:r>
      <w:r w:rsidRPr="00C177AD">
        <w:rPr>
          <w:rFonts w:ascii="Times New Roman" w:hAnsi="Times New Roman" w:cs="Times New Roman"/>
          <w:color w:val="365F91" w:themeColor="accent1" w:themeShade="BF"/>
        </w:rPr>
        <w:t xml:space="preserve">. </w:t>
      </w:r>
      <w:proofErr w:type="spellStart"/>
      <w:r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Definisanje</w:t>
      </w:r>
      <w:proofErr w:type="spellEnd"/>
      <w:r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ključnih</w:t>
      </w:r>
      <w:proofErr w:type="spellEnd"/>
      <w:r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pokazatelja</w:t>
      </w:r>
      <w:bookmarkEnd w:id="18"/>
      <w:proofErr w:type="spellEnd"/>
    </w:p>
    <w:p w:rsidR="00F64193" w:rsidRDefault="00F64193" w:rsidP="001B2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64193" w:rsidRDefault="001B2AE1" w:rsidP="00F64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narednim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tabelama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prikazani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su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pokazatelji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uspjeha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za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ciljeve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pokazatelji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rezultata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za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programe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zajedno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sa</w:t>
      </w:r>
      <w:proofErr w:type="spellEnd"/>
      <w:proofErr w:type="gram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njihovim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početnim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očekivanim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vrijednostima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kraju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trogodišnjeg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perioda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Detaljan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pregled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pokazatelja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njihovih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vrijednosti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po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godinama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može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vidjeti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Akcionom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planu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koji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nalazi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prilogu</w:t>
      </w:r>
      <w:proofErr w:type="spell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1. </w:t>
      </w:r>
      <w:proofErr w:type="spellStart"/>
      <w:proofErr w:type="gramStart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>ovog</w:t>
      </w:r>
      <w:proofErr w:type="spellEnd"/>
      <w:proofErr w:type="gramEnd"/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Plana.</w:t>
      </w:r>
    </w:p>
    <w:p w:rsidR="001B2AE1" w:rsidRPr="001B2AE1" w:rsidRDefault="001B2AE1" w:rsidP="00F64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B2A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4A1FBA" w:rsidRDefault="001B2AE1" w:rsidP="001B2AE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F64193">
        <w:rPr>
          <w:rFonts w:ascii="Times New Roman" w:hAnsi="Times New Roman" w:cs="Times New Roman"/>
          <w:color w:val="000000"/>
          <w:sz w:val="24"/>
          <w:szCs w:val="24"/>
          <w:lang w:val="en-US"/>
        </w:rPr>
        <w:t>Tabela</w:t>
      </w:r>
      <w:proofErr w:type="spellEnd"/>
      <w:r w:rsidRPr="00F641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924F6">
        <w:rPr>
          <w:rFonts w:ascii="Times New Roman" w:hAnsi="Times New Roman" w:cs="Times New Roman"/>
          <w:color w:val="000000"/>
          <w:sz w:val="24"/>
          <w:szCs w:val="24"/>
          <w:lang w:val="en-US"/>
        </w:rPr>
        <w:t>4</w:t>
      </w:r>
      <w:r w:rsidRPr="00F641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F64193">
        <w:rPr>
          <w:rFonts w:ascii="Times New Roman" w:hAnsi="Times New Roman" w:cs="Times New Roman"/>
          <w:color w:val="000000"/>
          <w:sz w:val="24"/>
          <w:szCs w:val="24"/>
          <w:lang w:val="en-US"/>
        </w:rPr>
        <w:t>Pokazatelji</w:t>
      </w:r>
      <w:proofErr w:type="spellEnd"/>
      <w:r w:rsidRPr="00F641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64193">
        <w:rPr>
          <w:rFonts w:ascii="Times New Roman" w:hAnsi="Times New Roman" w:cs="Times New Roman"/>
          <w:color w:val="000000"/>
          <w:sz w:val="24"/>
          <w:szCs w:val="24"/>
          <w:lang w:val="en-US"/>
        </w:rPr>
        <w:t>uspjeha</w:t>
      </w:r>
      <w:proofErr w:type="spellEnd"/>
      <w:r w:rsidRPr="00F641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64193">
        <w:rPr>
          <w:rFonts w:ascii="Times New Roman" w:hAnsi="Times New Roman" w:cs="Times New Roman"/>
          <w:color w:val="000000"/>
          <w:sz w:val="24"/>
          <w:szCs w:val="24"/>
          <w:lang w:val="en-US"/>
        </w:rPr>
        <w:t>srednjoročnog</w:t>
      </w:r>
      <w:proofErr w:type="spellEnd"/>
      <w:r w:rsidRPr="00F641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64193">
        <w:rPr>
          <w:rFonts w:ascii="Times New Roman" w:hAnsi="Times New Roman" w:cs="Times New Roman"/>
          <w:color w:val="000000"/>
          <w:sz w:val="24"/>
          <w:szCs w:val="24"/>
          <w:lang w:val="en-US"/>
        </w:rPr>
        <w:t>cilja</w:t>
      </w:r>
      <w:proofErr w:type="spellEnd"/>
      <w:r w:rsidR="004A1FBA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tbl>
      <w:tblPr>
        <w:tblW w:w="9015" w:type="dxa"/>
        <w:tblInd w:w="68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000" w:firstRow="0" w:lastRow="0" w:firstColumn="0" w:lastColumn="0" w:noHBand="0" w:noVBand="0"/>
      </w:tblPr>
      <w:tblGrid>
        <w:gridCol w:w="2044"/>
        <w:gridCol w:w="1517"/>
        <w:gridCol w:w="2708"/>
        <w:gridCol w:w="2746"/>
      </w:tblGrid>
      <w:tr w:rsidR="00B65CBF" w:rsidTr="004A1FBA">
        <w:trPr>
          <w:trHeight w:val="195"/>
        </w:trPr>
        <w:tc>
          <w:tcPr>
            <w:tcW w:w="2044" w:type="dxa"/>
            <w:tcBorders>
              <w:bottom w:val="single" w:sz="6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:rsidR="00B65CBF" w:rsidRPr="004A1FBA" w:rsidRDefault="00B65CBF" w:rsidP="00B65CBF">
            <w:pPr>
              <w:rPr>
                <w:bCs/>
                <w:sz w:val="24"/>
                <w:szCs w:val="24"/>
              </w:rPr>
            </w:pPr>
            <w:r w:rsidRPr="004A1FBA">
              <w:rPr>
                <w:b/>
                <w:bCs/>
                <w:sz w:val="24"/>
                <w:szCs w:val="24"/>
              </w:rPr>
              <w:t>Srednjoročni cilj:</w:t>
            </w:r>
            <w:r w:rsidRPr="004A1FBA">
              <w:t xml:space="preserve"> </w:t>
            </w:r>
          </w:p>
        </w:tc>
        <w:tc>
          <w:tcPr>
            <w:tcW w:w="6971" w:type="dxa"/>
            <w:gridSpan w:val="3"/>
            <w:tcBorders>
              <w:bottom w:val="single" w:sz="6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:rsidR="00B65CBF" w:rsidRPr="004A1FBA" w:rsidRDefault="00E27F6F" w:rsidP="00284381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4A1FBA">
              <w:rPr>
                <w:bCs/>
                <w:sz w:val="24"/>
                <w:szCs w:val="24"/>
              </w:rPr>
              <w:t>Unaprijediti sistem infrastrukture kvaliteta u skladu sa EU legislativama i dobrom praksom EU, efikasniju regulaciju tržišta u svrhu obezbjeđenja slobodnog kretanja roba i usluga i tržišne fer konkurencije.</w:t>
            </w:r>
          </w:p>
        </w:tc>
      </w:tr>
      <w:tr w:rsidR="00284381" w:rsidTr="004A1FBA">
        <w:trPr>
          <w:trHeight w:val="195"/>
        </w:trPr>
        <w:tc>
          <w:tcPr>
            <w:tcW w:w="3561" w:type="dxa"/>
            <w:gridSpan w:val="2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EAF1DD" w:themeFill="accent3" w:themeFillTint="33"/>
            <w:vAlign w:val="center"/>
          </w:tcPr>
          <w:p w:rsidR="00B65CBF" w:rsidRPr="00B65CBF" w:rsidRDefault="00B65CBF" w:rsidP="00EE6784">
            <w:pPr>
              <w:pStyle w:val="Default"/>
            </w:pPr>
            <w:r w:rsidRPr="00B65CBF">
              <w:t>Pokazatelji uspjeha</w:t>
            </w:r>
          </w:p>
        </w:tc>
        <w:tc>
          <w:tcPr>
            <w:tcW w:w="2708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EAF1DD" w:themeFill="accent3" w:themeFillTint="33"/>
            <w:vAlign w:val="center"/>
          </w:tcPr>
          <w:p w:rsidR="00B65CBF" w:rsidRPr="00B65CBF" w:rsidRDefault="00B65CBF" w:rsidP="00FB7E48">
            <w:pPr>
              <w:pStyle w:val="Default"/>
              <w:jc w:val="center"/>
            </w:pPr>
            <w:r w:rsidRPr="00B65CBF">
              <w:t xml:space="preserve">Početna vrijednost </w:t>
            </w:r>
            <w:r w:rsidR="00284381">
              <w:t xml:space="preserve">(%) </w:t>
            </w:r>
            <w:r w:rsidRPr="00B65CBF">
              <w:t>201</w:t>
            </w:r>
            <w:r w:rsidR="00FB7E48">
              <w:t>6</w:t>
            </w:r>
            <w:r w:rsidRPr="00B65CBF">
              <w:t>.</w:t>
            </w:r>
          </w:p>
        </w:tc>
        <w:tc>
          <w:tcPr>
            <w:tcW w:w="2746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EAF1DD" w:themeFill="accent3" w:themeFillTint="33"/>
            <w:vAlign w:val="center"/>
          </w:tcPr>
          <w:p w:rsidR="00B65CBF" w:rsidRPr="00B65CBF" w:rsidRDefault="00B65CBF" w:rsidP="00FB7E48">
            <w:pPr>
              <w:pStyle w:val="Default"/>
              <w:jc w:val="center"/>
            </w:pPr>
            <w:r w:rsidRPr="00B65CBF">
              <w:t xml:space="preserve">Očekivana vrijednost </w:t>
            </w:r>
            <w:r w:rsidR="00284381">
              <w:t xml:space="preserve">(%) </w:t>
            </w:r>
            <w:r w:rsidRPr="00B65CBF">
              <w:t>201</w:t>
            </w:r>
            <w:r w:rsidR="00FB7E48">
              <w:t>9</w:t>
            </w:r>
            <w:r w:rsidRPr="00B65CBF">
              <w:t>.</w:t>
            </w:r>
            <w:r w:rsidR="00284381">
              <w:t xml:space="preserve"> </w:t>
            </w:r>
          </w:p>
        </w:tc>
      </w:tr>
      <w:tr w:rsidR="00284381" w:rsidTr="00284381">
        <w:trPr>
          <w:trHeight w:val="195"/>
        </w:trPr>
        <w:tc>
          <w:tcPr>
            <w:tcW w:w="3561" w:type="dxa"/>
            <w:gridSpan w:val="2"/>
            <w:tcBorders>
              <w:top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</w:tcPr>
          <w:p w:rsidR="00B65CBF" w:rsidRPr="00B65CBF" w:rsidRDefault="00B65CBF" w:rsidP="00E27F6F">
            <w:pPr>
              <w:pStyle w:val="Default"/>
              <w:rPr>
                <w:bCs/>
              </w:rPr>
            </w:pPr>
            <w:r w:rsidRPr="00B65CBF">
              <w:rPr>
                <w:bCs/>
              </w:rPr>
              <w:t>Procenat transparentno oknončanih procedura javnih nabavki</w:t>
            </w:r>
          </w:p>
        </w:tc>
        <w:tc>
          <w:tcPr>
            <w:tcW w:w="2708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</w:tcPr>
          <w:p w:rsidR="00B65CBF" w:rsidRDefault="00B65CBF" w:rsidP="00B65CBF">
            <w:pPr>
              <w:pStyle w:val="Default"/>
              <w:jc w:val="center"/>
              <w:rPr>
                <w:b/>
                <w:bCs/>
              </w:rPr>
            </w:pPr>
          </w:p>
          <w:p w:rsidR="00B65CBF" w:rsidRPr="00B65CBF" w:rsidRDefault="00FB7E48" w:rsidP="00B65CB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  <w:p w:rsidR="00B65CBF" w:rsidRPr="00B65CBF" w:rsidRDefault="00B65CBF" w:rsidP="00B65CBF">
            <w:pPr>
              <w:pStyle w:val="Default"/>
              <w:jc w:val="center"/>
            </w:pPr>
          </w:p>
        </w:tc>
        <w:tc>
          <w:tcPr>
            <w:tcW w:w="2746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</w:tcBorders>
            <w:vAlign w:val="center"/>
          </w:tcPr>
          <w:p w:rsidR="00B65CBF" w:rsidRPr="00B65CBF" w:rsidRDefault="00FB7E48" w:rsidP="00B65CBF">
            <w:pPr>
              <w:pStyle w:val="Default"/>
              <w:jc w:val="center"/>
            </w:pPr>
            <w:r>
              <w:t>6</w:t>
            </w:r>
            <w:r w:rsidR="00B65CBF">
              <w:t>5</w:t>
            </w:r>
          </w:p>
        </w:tc>
      </w:tr>
    </w:tbl>
    <w:p w:rsidR="00F64193" w:rsidRDefault="00F64193" w:rsidP="001B2AE1">
      <w:pPr>
        <w:jc w:val="both"/>
        <w:rPr>
          <w:bCs/>
          <w:sz w:val="24"/>
          <w:szCs w:val="24"/>
        </w:rPr>
      </w:pPr>
    </w:p>
    <w:p w:rsidR="00D04418" w:rsidRDefault="00D04418" w:rsidP="001B2AE1">
      <w:pPr>
        <w:jc w:val="both"/>
        <w:rPr>
          <w:bCs/>
          <w:sz w:val="24"/>
          <w:szCs w:val="24"/>
          <w:lang w:val="en-US"/>
        </w:rPr>
      </w:pPr>
      <w:proofErr w:type="spellStart"/>
      <w:r w:rsidRPr="00D04418">
        <w:rPr>
          <w:bCs/>
          <w:sz w:val="24"/>
          <w:szCs w:val="24"/>
          <w:lang w:val="en-US"/>
        </w:rPr>
        <w:t>Tabela</w:t>
      </w:r>
      <w:proofErr w:type="spellEnd"/>
      <w:r w:rsidRPr="00D04418">
        <w:rPr>
          <w:bCs/>
          <w:sz w:val="24"/>
          <w:szCs w:val="24"/>
          <w:lang w:val="en-US"/>
        </w:rPr>
        <w:t xml:space="preserve"> </w:t>
      </w:r>
      <w:r w:rsidR="008924F6">
        <w:rPr>
          <w:bCs/>
          <w:sz w:val="24"/>
          <w:szCs w:val="24"/>
          <w:lang w:val="en-US"/>
        </w:rPr>
        <w:t>5</w:t>
      </w:r>
      <w:r w:rsidRPr="00D04418">
        <w:rPr>
          <w:bCs/>
          <w:sz w:val="24"/>
          <w:szCs w:val="24"/>
          <w:lang w:val="en-US"/>
        </w:rPr>
        <w:t xml:space="preserve">. </w:t>
      </w:r>
      <w:proofErr w:type="spellStart"/>
      <w:r w:rsidRPr="00D04418">
        <w:rPr>
          <w:bCs/>
          <w:sz w:val="24"/>
          <w:szCs w:val="24"/>
          <w:lang w:val="en-US"/>
        </w:rPr>
        <w:t>Pokazatelji</w:t>
      </w:r>
      <w:proofErr w:type="spellEnd"/>
      <w:r w:rsidRPr="00D04418">
        <w:rPr>
          <w:bCs/>
          <w:sz w:val="24"/>
          <w:szCs w:val="24"/>
          <w:lang w:val="en-US"/>
        </w:rPr>
        <w:t xml:space="preserve"> </w:t>
      </w:r>
      <w:proofErr w:type="spellStart"/>
      <w:r w:rsidRPr="00D04418">
        <w:rPr>
          <w:bCs/>
          <w:sz w:val="24"/>
          <w:szCs w:val="24"/>
          <w:lang w:val="en-US"/>
        </w:rPr>
        <w:t>uspjeha</w:t>
      </w:r>
      <w:proofErr w:type="spellEnd"/>
      <w:r w:rsidRPr="00D04418">
        <w:rPr>
          <w:bCs/>
          <w:sz w:val="24"/>
          <w:szCs w:val="24"/>
          <w:lang w:val="en-US"/>
        </w:rPr>
        <w:t xml:space="preserve"> </w:t>
      </w:r>
      <w:proofErr w:type="spellStart"/>
      <w:r w:rsidR="00774000">
        <w:rPr>
          <w:bCs/>
          <w:sz w:val="24"/>
          <w:szCs w:val="24"/>
          <w:lang w:val="en-US"/>
        </w:rPr>
        <w:t>S</w:t>
      </w:r>
      <w:r w:rsidRPr="00D04418">
        <w:rPr>
          <w:bCs/>
          <w:sz w:val="24"/>
          <w:szCs w:val="24"/>
          <w:lang w:val="en-US"/>
        </w:rPr>
        <w:t>pecifičn</w:t>
      </w:r>
      <w:r w:rsidR="00E27F6F">
        <w:rPr>
          <w:bCs/>
          <w:sz w:val="24"/>
          <w:szCs w:val="24"/>
          <w:lang w:val="en-US"/>
        </w:rPr>
        <w:t>og</w:t>
      </w:r>
      <w:proofErr w:type="spellEnd"/>
      <w:r w:rsidRPr="00D04418">
        <w:rPr>
          <w:bCs/>
          <w:sz w:val="24"/>
          <w:szCs w:val="24"/>
          <w:lang w:val="en-US"/>
        </w:rPr>
        <w:t xml:space="preserve"> </w:t>
      </w:r>
      <w:proofErr w:type="spellStart"/>
      <w:r w:rsidRPr="00D04418">
        <w:rPr>
          <w:bCs/>
          <w:sz w:val="24"/>
          <w:szCs w:val="24"/>
          <w:lang w:val="en-US"/>
        </w:rPr>
        <w:t>cilja</w:t>
      </w:r>
      <w:proofErr w:type="spellEnd"/>
      <w:r w:rsidR="008924F6">
        <w:rPr>
          <w:bCs/>
          <w:sz w:val="24"/>
          <w:szCs w:val="24"/>
          <w:lang w:val="en-US"/>
        </w:rPr>
        <w:t>.</w:t>
      </w:r>
    </w:p>
    <w:tbl>
      <w:tblPr>
        <w:tblW w:w="9015" w:type="dxa"/>
        <w:tblInd w:w="68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000" w:firstRow="0" w:lastRow="0" w:firstColumn="0" w:lastColumn="0" w:noHBand="0" w:noVBand="0"/>
      </w:tblPr>
      <w:tblGrid>
        <w:gridCol w:w="2044"/>
        <w:gridCol w:w="1517"/>
        <w:gridCol w:w="2708"/>
        <w:gridCol w:w="2746"/>
      </w:tblGrid>
      <w:tr w:rsidR="00D04418" w:rsidTr="004A1FBA">
        <w:trPr>
          <w:trHeight w:val="195"/>
        </w:trPr>
        <w:tc>
          <w:tcPr>
            <w:tcW w:w="2044" w:type="dxa"/>
            <w:tcBorders>
              <w:bottom w:val="single" w:sz="6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:rsidR="00D04418" w:rsidRPr="00EE6784" w:rsidRDefault="00D04418" w:rsidP="00774000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Specifični</w:t>
            </w:r>
            <w:r w:rsidRPr="00B65CBF">
              <w:rPr>
                <w:b/>
                <w:bCs/>
                <w:sz w:val="24"/>
                <w:szCs w:val="24"/>
              </w:rPr>
              <w:t xml:space="preserve"> cilj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971" w:type="dxa"/>
            <w:gridSpan w:val="3"/>
            <w:tcBorders>
              <w:bottom w:val="single" w:sz="6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:rsidR="00D04418" w:rsidRDefault="00E27F6F" w:rsidP="00EE6784">
            <w:pPr>
              <w:spacing w:after="0"/>
              <w:rPr>
                <w:bCs/>
                <w:sz w:val="24"/>
                <w:szCs w:val="24"/>
              </w:rPr>
            </w:pPr>
            <w:r w:rsidRPr="00E27F6F">
              <w:rPr>
                <w:bCs/>
                <w:sz w:val="24"/>
                <w:szCs w:val="24"/>
              </w:rPr>
              <w:t>Unaprijediti proces i transparentnost provođenja postupaka javnih nabavki</w:t>
            </w:r>
          </w:p>
        </w:tc>
      </w:tr>
      <w:tr w:rsidR="00D04418" w:rsidTr="004A1FBA">
        <w:trPr>
          <w:trHeight w:val="195"/>
        </w:trPr>
        <w:tc>
          <w:tcPr>
            <w:tcW w:w="3561" w:type="dxa"/>
            <w:gridSpan w:val="2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EAF1DD" w:themeFill="accent3" w:themeFillTint="33"/>
            <w:vAlign w:val="center"/>
          </w:tcPr>
          <w:p w:rsidR="00D04418" w:rsidRPr="00B65CBF" w:rsidRDefault="00D04418" w:rsidP="009E61CB">
            <w:pPr>
              <w:pStyle w:val="Default"/>
              <w:spacing w:line="276" w:lineRule="auto"/>
            </w:pPr>
            <w:r w:rsidRPr="00B65CBF">
              <w:t>Pokazatelji uspjeha</w:t>
            </w:r>
          </w:p>
        </w:tc>
        <w:tc>
          <w:tcPr>
            <w:tcW w:w="2708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EAF1DD" w:themeFill="accent3" w:themeFillTint="33"/>
            <w:vAlign w:val="center"/>
          </w:tcPr>
          <w:p w:rsidR="00D04418" w:rsidRPr="00B65CBF" w:rsidRDefault="00D04418" w:rsidP="00E27F6F">
            <w:pPr>
              <w:pStyle w:val="Default"/>
              <w:jc w:val="center"/>
            </w:pPr>
            <w:r w:rsidRPr="00B65CBF">
              <w:t xml:space="preserve">Početna vrijednost </w:t>
            </w:r>
            <w:r>
              <w:t xml:space="preserve">(%) </w:t>
            </w:r>
            <w:r w:rsidRPr="00B65CBF">
              <w:t>201</w:t>
            </w:r>
            <w:r w:rsidR="00E27F6F">
              <w:t>6</w:t>
            </w:r>
            <w:r w:rsidRPr="00B65CBF">
              <w:t>.</w:t>
            </w:r>
          </w:p>
        </w:tc>
        <w:tc>
          <w:tcPr>
            <w:tcW w:w="2746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EAF1DD" w:themeFill="accent3" w:themeFillTint="33"/>
            <w:vAlign w:val="center"/>
          </w:tcPr>
          <w:p w:rsidR="00D04418" w:rsidRPr="00B65CBF" w:rsidRDefault="00D04418" w:rsidP="00E27F6F">
            <w:pPr>
              <w:pStyle w:val="Default"/>
              <w:jc w:val="center"/>
            </w:pPr>
            <w:r w:rsidRPr="00B65CBF">
              <w:t xml:space="preserve">Očekivana vrijednost </w:t>
            </w:r>
            <w:r>
              <w:t xml:space="preserve">(%) </w:t>
            </w:r>
            <w:r w:rsidRPr="00B65CBF">
              <w:t>201</w:t>
            </w:r>
            <w:r w:rsidR="00E27F6F">
              <w:t>9</w:t>
            </w:r>
            <w:r w:rsidRPr="00B65CBF">
              <w:t>.</w:t>
            </w:r>
            <w:r>
              <w:t xml:space="preserve"> </w:t>
            </w:r>
          </w:p>
        </w:tc>
      </w:tr>
      <w:tr w:rsidR="00D04418" w:rsidTr="00E27F6F">
        <w:trPr>
          <w:trHeight w:val="195"/>
        </w:trPr>
        <w:tc>
          <w:tcPr>
            <w:tcW w:w="3561" w:type="dxa"/>
            <w:gridSpan w:val="2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</w:tcPr>
          <w:p w:rsidR="00D04418" w:rsidRPr="00B65CBF" w:rsidRDefault="00E27F6F" w:rsidP="009E61CB">
            <w:pPr>
              <w:pStyle w:val="Default"/>
              <w:spacing w:line="276" w:lineRule="auto"/>
              <w:rPr>
                <w:bCs/>
              </w:rPr>
            </w:pPr>
            <w:r w:rsidRPr="00E27F6F">
              <w:rPr>
                <w:bCs/>
              </w:rPr>
              <w:t>Stepen zadovoljstava korisnika uslugama AJN</w:t>
            </w:r>
          </w:p>
        </w:tc>
        <w:tc>
          <w:tcPr>
            <w:tcW w:w="2708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</w:tcPr>
          <w:p w:rsidR="00D04418" w:rsidRPr="002D4858" w:rsidRDefault="00E27F6F" w:rsidP="00E27F6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2746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</w:tcBorders>
            <w:vAlign w:val="center"/>
          </w:tcPr>
          <w:p w:rsidR="00D04418" w:rsidRPr="00B65CBF" w:rsidRDefault="00E27F6F" w:rsidP="00E27F6F">
            <w:pPr>
              <w:pStyle w:val="Default"/>
              <w:jc w:val="center"/>
            </w:pPr>
            <w:r>
              <w:t>95</w:t>
            </w:r>
          </w:p>
        </w:tc>
      </w:tr>
    </w:tbl>
    <w:p w:rsidR="00D04418" w:rsidRDefault="00D04418" w:rsidP="001F60E2">
      <w:pPr>
        <w:spacing w:after="0"/>
        <w:jc w:val="both"/>
        <w:rPr>
          <w:bCs/>
          <w:sz w:val="24"/>
          <w:szCs w:val="24"/>
        </w:rPr>
      </w:pPr>
    </w:p>
    <w:p w:rsidR="00EE6784" w:rsidRDefault="00EE6784" w:rsidP="00EE6784">
      <w:pPr>
        <w:spacing w:after="0"/>
        <w:jc w:val="both"/>
        <w:rPr>
          <w:bCs/>
          <w:sz w:val="24"/>
          <w:szCs w:val="24"/>
        </w:rPr>
      </w:pPr>
      <w:r w:rsidRPr="00EE6784">
        <w:rPr>
          <w:bCs/>
          <w:sz w:val="24"/>
          <w:szCs w:val="24"/>
        </w:rPr>
        <w:t xml:space="preserve">Tabela </w:t>
      </w:r>
      <w:r w:rsidR="008924F6">
        <w:rPr>
          <w:bCs/>
          <w:sz w:val="24"/>
          <w:szCs w:val="24"/>
        </w:rPr>
        <w:t>6</w:t>
      </w:r>
      <w:r w:rsidRPr="00EE6784">
        <w:rPr>
          <w:bCs/>
          <w:sz w:val="24"/>
          <w:szCs w:val="24"/>
        </w:rPr>
        <w:t>. Pokazatelji rezultata za prog</w:t>
      </w:r>
      <w:r w:rsidR="008924F6">
        <w:rPr>
          <w:bCs/>
          <w:sz w:val="24"/>
          <w:szCs w:val="24"/>
        </w:rPr>
        <w:t>rame u okviru Specifičnog cilja.</w:t>
      </w:r>
    </w:p>
    <w:p w:rsidR="00EE6784" w:rsidRDefault="00EE6784" w:rsidP="00EE6784">
      <w:pPr>
        <w:spacing w:after="0"/>
        <w:jc w:val="both"/>
        <w:rPr>
          <w:bCs/>
          <w:sz w:val="24"/>
          <w:szCs w:val="24"/>
        </w:rPr>
      </w:pPr>
    </w:p>
    <w:tbl>
      <w:tblPr>
        <w:tblW w:w="9015" w:type="dxa"/>
        <w:tblInd w:w="68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000" w:firstRow="0" w:lastRow="0" w:firstColumn="0" w:lastColumn="0" w:noHBand="0" w:noVBand="0"/>
      </w:tblPr>
      <w:tblGrid>
        <w:gridCol w:w="3561"/>
        <w:gridCol w:w="2708"/>
        <w:gridCol w:w="2746"/>
      </w:tblGrid>
      <w:tr w:rsidR="008924F6" w:rsidTr="008924F6">
        <w:trPr>
          <w:trHeight w:val="195"/>
        </w:trPr>
        <w:tc>
          <w:tcPr>
            <w:tcW w:w="9015" w:type="dxa"/>
            <w:gridSpan w:val="3"/>
            <w:tcBorders>
              <w:bottom w:val="single" w:sz="6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:rsidR="008924F6" w:rsidRDefault="008924F6" w:rsidP="00774000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Specifični</w:t>
            </w:r>
            <w:r w:rsidRPr="00B65CBF">
              <w:rPr>
                <w:b/>
                <w:bCs/>
                <w:sz w:val="24"/>
                <w:szCs w:val="24"/>
              </w:rPr>
              <w:t xml:space="preserve"> cilj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E27F6F">
              <w:rPr>
                <w:bCs/>
                <w:sz w:val="24"/>
                <w:szCs w:val="24"/>
              </w:rPr>
              <w:t xml:space="preserve"> </w:t>
            </w:r>
            <w:r w:rsidRPr="00E27F6F">
              <w:rPr>
                <w:bCs/>
                <w:sz w:val="24"/>
                <w:szCs w:val="24"/>
              </w:rPr>
              <w:t xml:space="preserve">Unaprijediti proces i transparentnost provođenja postupaka javnih 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E27F6F">
              <w:rPr>
                <w:bCs/>
                <w:sz w:val="24"/>
                <w:szCs w:val="24"/>
              </w:rPr>
              <w:t>nabavki</w:t>
            </w:r>
          </w:p>
        </w:tc>
      </w:tr>
      <w:tr w:rsidR="008924F6" w:rsidTr="008924F6">
        <w:trPr>
          <w:trHeight w:val="195"/>
        </w:trPr>
        <w:tc>
          <w:tcPr>
            <w:tcW w:w="9015" w:type="dxa"/>
            <w:gridSpan w:val="3"/>
            <w:tcBorders>
              <w:bottom w:val="single" w:sz="6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:rsidR="008924F6" w:rsidRDefault="008924F6" w:rsidP="00EE6784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EE6784">
              <w:rPr>
                <w:b/>
                <w:bCs/>
                <w:sz w:val="24"/>
                <w:szCs w:val="24"/>
                <w:lang w:val="en-US"/>
              </w:rPr>
              <w:t>Program 1.1.</w:t>
            </w:r>
            <w:r w:rsidRPr="00D96822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:rsidR="008924F6" w:rsidRPr="00EE6784" w:rsidRDefault="008924F6" w:rsidP="00EE6784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D96822">
              <w:rPr>
                <w:rFonts w:cstheme="minorHAnsi"/>
                <w:bCs/>
                <w:sz w:val="24"/>
                <w:szCs w:val="24"/>
              </w:rPr>
              <w:t>Razvoj i puštanje u rad novih servisa za e-nabavke</w:t>
            </w:r>
          </w:p>
        </w:tc>
      </w:tr>
      <w:tr w:rsidR="00EE6784" w:rsidTr="004A1FBA">
        <w:trPr>
          <w:trHeight w:val="195"/>
        </w:trPr>
        <w:tc>
          <w:tcPr>
            <w:tcW w:w="3561" w:type="dxa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EAF1DD" w:themeFill="accent3" w:themeFillTint="33"/>
            <w:vAlign w:val="center"/>
          </w:tcPr>
          <w:p w:rsidR="00EE6784" w:rsidRPr="00B65CBF" w:rsidRDefault="00EE6784" w:rsidP="00D96822">
            <w:pPr>
              <w:pStyle w:val="Default"/>
            </w:pPr>
            <w:r w:rsidRPr="00B65CBF">
              <w:t>Pokazatelji uspjeha</w:t>
            </w:r>
            <w:r w:rsidR="00D96822">
              <w:t xml:space="preserve"> </w:t>
            </w:r>
          </w:p>
        </w:tc>
        <w:tc>
          <w:tcPr>
            <w:tcW w:w="2708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EAF1DD" w:themeFill="accent3" w:themeFillTint="33"/>
            <w:vAlign w:val="center"/>
          </w:tcPr>
          <w:p w:rsidR="00EE6784" w:rsidRPr="00B65CBF" w:rsidRDefault="00EE6784" w:rsidP="004A1FBA">
            <w:pPr>
              <w:pStyle w:val="Default"/>
              <w:jc w:val="center"/>
            </w:pPr>
            <w:r w:rsidRPr="00B65CBF">
              <w:t xml:space="preserve">Početna vrijednost </w:t>
            </w:r>
            <w:r>
              <w:t xml:space="preserve">(%) </w:t>
            </w:r>
            <w:r w:rsidRPr="00B65CBF">
              <w:t>201</w:t>
            </w:r>
            <w:r w:rsidR="004A1FBA">
              <w:t>6</w:t>
            </w:r>
            <w:r w:rsidRPr="00B65CBF">
              <w:t>.</w:t>
            </w:r>
          </w:p>
        </w:tc>
        <w:tc>
          <w:tcPr>
            <w:tcW w:w="2746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EAF1DD" w:themeFill="accent3" w:themeFillTint="33"/>
            <w:vAlign w:val="center"/>
          </w:tcPr>
          <w:p w:rsidR="00EE6784" w:rsidRPr="00B65CBF" w:rsidRDefault="00EE6784" w:rsidP="004A1FBA">
            <w:pPr>
              <w:pStyle w:val="Default"/>
              <w:jc w:val="center"/>
            </w:pPr>
            <w:r w:rsidRPr="00B65CBF">
              <w:t xml:space="preserve">Očekivana vrijednost </w:t>
            </w:r>
            <w:r>
              <w:t xml:space="preserve">(%) </w:t>
            </w:r>
            <w:r w:rsidRPr="00B65CBF">
              <w:t>201</w:t>
            </w:r>
            <w:r w:rsidR="004A1FBA">
              <w:t>9</w:t>
            </w:r>
            <w:r w:rsidRPr="00B65CBF">
              <w:t>.</w:t>
            </w:r>
            <w:r>
              <w:t xml:space="preserve"> </w:t>
            </w:r>
          </w:p>
        </w:tc>
      </w:tr>
      <w:tr w:rsidR="00EE6784" w:rsidTr="00D96822">
        <w:trPr>
          <w:trHeight w:val="317"/>
        </w:trPr>
        <w:tc>
          <w:tcPr>
            <w:tcW w:w="3561" w:type="dxa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EE6784" w:rsidRPr="00B65CBF" w:rsidRDefault="00D96822" w:rsidP="00D96822">
            <w:pPr>
              <w:pStyle w:val="Default"/>
              <w:rPr>
                <w:bCs/>
              </w:rPr>
            </w:pPr>
            <w:r w:rsidRPr="00D96822">
              <w:rPr>
                <w:bCs/>
              </w:rPr>
              <w:t>Procenat korisnika servisa</w:t>
            </w:r>
          </w:p>
        </w:tc>
        <w:tc>
          <w:tcPr>
            <w:tcW w:w="2708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EE6784" w:rsidRPr="00D96822" w:rsidRDefault="008924F6" w:rsidP="00D9682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746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</w:tcBorders>
          </w:tcPr>
          <w:p w:rsidR="00EE6784" w:rsidRPr="00B65CBF" w:rsidRDefault="008924F6" w:rsidP="00D96822">
            <w:pPr>
              <w:pStyle w:val="Default"/>
              <w:jc w:val="center"/>
            </w:pPr>
            <w:r>
              <w:t>85</w:t>
            </w:r>
          </w:p>
        </w:tc>
      </w:tr>
      <w:tr w:rsidR="008924F6" w:rsidTr="00774000">
        <w:trPr>
          <w:trHeight w:val="317"/>
        </w:trPr>
        <w:tc>
          <w:tcPr>
            <w:tcW w:w="3561" w:type="dxa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8924F6" w:rsidRPr="00D96822" w:rsidRDefault="008924F6" w:rsidP="008924F6">
            <w:pPr>
              <w:pStyle w:val="Default"/>
              <w:rPr>
                <w:bCs/>
              </w:rPr>
            </w:pPr>
            <w:r w:rsidRPr="00D96822">
              <w:rPr>
                <w:bCs/>
              </w:rPr>
              <w:t>Sofisticiranost usluge provođenja postupaka javnih nabavki elektronskim putem</w:t>
            </w:r>
          </w:p>
        </w:tc>
        <w:tc>
          <w:tcPr>
            <w:tcW w:w="2708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</w:tcPr>
          <w:p w:rsidR="008924F6" w:rsidRPr="008924F6" w:rsidRDefault="008924F6" w:rsidP="008924F6">
            <w:pPr>
              <w:jc w:val="center"/>
              <w:rPr>
                <w:sz w:val="24"/>
                <w:szCs w:val="24"/>
              </w:rPr>
            </w:pPr>
            <w:r w:rsidRPr="008924F6">
              <w:rPr>
                <w:sz w:val="24"/>
                <w:szCs w:val="24"/>
              </w:rPr>
              <w:t>50</w:t>
            </w:r>
          </w:p>
        </w:tc>
        <w:tc>
          <w:tcPr>
            <w:tcW w:w="2746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</w:tcBorders>
            <w:vAlign w:val="center"/>
          </w:tcPr>
          <w:p w:rsidR="008924F6" w:rsidRPr="008924F6" w:rsidRDefault="008924F6" w:rsidP="008924F6">
            <w:pPr>
              <w:jc w:val="center"/>
              <w:rPr>
                <w:sz w:val="24"/>
                <w:szCs w:val="24"/>
              </w:rPr>
            </w:pPr>
            <w:r w:rsidRPr="008924F6">
              <w:rPr>
                <w:sz w:val="24"/>
                <w:szCs w:val="24"/>
              </w:rPr>
              <w:t>85</w:t>
            </w:r>
          </w:p>
        </w:tc>
      </w:tr>
      <w:tr w:rsidR="00EE6AAC" w:rsidTr="00FE00DA">
        <w:trPr>
          <w:trHeight w:val="195"/>
        </w:trPr>
        <w:tc>
          <w:tcPr>
            <w:tcW w:w="9015" w:type="dxa"/>
            <w:gridSpan w:val="3"/>
            <w:tcBorders>
              <w:bottom w:val="single" w:sz="6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:rsidR="00EE6AAC" w:rsidRDefault="00EE6AAC" w:rsidP="00FE00DA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EE6784">
              <w:rPr>
                <w:b/>
                <w:bCs/>
                <w:sz w:val="24"/>
                <w:szCs w:val="24"/>
                <w:lang w:val="en-US"/>
              </w:rPr>
              <w:t>Program 1.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EE6784">
              <w:rPr>
                <w:b/>
                <w:bCs/>
                <w:sz w:val="24"/>
                <w:szCs w:val="24"/>
                <w:lang w:val="en-US"/>
              </w:rPr>
              <w:t>.</w:t>
            </w:r>
            <w:r w:rsidRPr="00D96822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:rsidR="00EE6AAC" w:rsidRPr="00EE6784" w:rsidRDefault="00EE6AAC" w:rsidP="00FE00DA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EE6AAC">
              <w:rPr>
                <w:rFonts w:cstheme="minorHAnsi"/>
                <w:bCs/>
                <w:sz w:val="24"/>
                <w:szCs w:val="24"/>
              </w:rPr>
              <w:t>Obuke službenika za javne nabavke i praćenje primjene zakona i podzakonskih akata</w:t>
            </w:r>
          </w:p>
        </w:tc>
      </w:tr>
      <w:tr w:rsidR="00EE6AAC" w:rsidTr="00FE00DA">
        <w:trPr>
          <w:trHeight w:val="195"/>
        </w:trPr>
        <w:tc>
          <w:tcPr>
            <w:tcW w:w="3561" w:type="dxa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EAF1DD" w:themeFill="accent3" w:themeFillTint="33"/>
            <w:vAlign w:val="center"/>
          </w:tcPr>
          <w:p w:rsidR="00EE6AAC" w:rsidRPr="00B65CBF" w:rsidRDefault="00EE6AAC" w:rsidP="00FE00DA">
            <w:pPr>
              <w:pStyle w:val="Default"/>
            </w:pPr>
            <w:r w:rsidRPr="00B65CBF">
              <w:t>Pokazatelji uspjeha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EAF1DD" w:themeFill="accent3" w:themeFillTint="33"/>
            <w:vAlign w:val="center"/>
          </w:tcPr>
          <w:p w:rsidR="00EE6AAC" w:rsidRPr="00B65CBF" w:rsidRDefault="00EE6AAC" w:rsidP="00FE00DA">
            <w:pPr>
              <w:pStyle w:val="Default"/>
              <w:jc w:val="center"/>
            </w:pPr>
            <w:r w:rsidRPr="00B65CBF">
              <w:t xml:space="preserve">Početna vrijednost </w:t>
            </w:r>
            <w:r>
              <w:t xml:space="preserve">(%) </w:t>
            </w:r>
            <w:r w:rsidRPr="00B65CBF">
              <w:t>201</w:t>
            </w:r>
            <w:r>
              <w:t>6</w:t>
            </w:r>
            <w:r w:rsidRPr="00B65CBF">
              <w:t>.</w:t>
            </w:r>
          </w:p>
        </w:tc>
        <w:tc>
          <w:tcPr>
            <w:tcW w:w="2746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EAF1DD" w:themeFill="accent3" w:themeFillTint="33"/>
            <w:vAlign w:val="center"/>
          </w:tcPr>
          <w:p w:rsidR="00EE6AAC" w:rsidRPr="00B65CBF" w:rsidRDefault="00EE6AAC" w:rsidP="00FE00DA">
            <w:pPr>
              <w:pStyle w:val="Default"/>
              <w:jc w:val="center"/>
            </w:pPr>
            <w:r w:rsidRPr="00B65CBF">
              <w:t xml:space="preserve">Očekivana vrijednost </w:t>
            </w:r>
            <w:r>
              <w:t xml:space="preserve">(%) </w:t>
            </w:r>
            <w:r w:rsidRPr="00B65CBF">
              <w:t>201</w:t>
            </w:r>
            <w:r>
              <w:t>9</w:t>
            </w:r>
            <w:r w:rsidRPr="00B65CBF">
              <w:t>.</w:t>
            </w:r>
            <w:r>
              <w:t xml:space="preserve"> </w:t>
            </w:r>
          </w:p>
        </w:tc>
      </w:tr>
      <w:tr w:rsidR="00774000" w:rsidTr="00EE6AAC">
        <w:trPr>
          <w:trHeight w:val="317"/>
        </w:trPr>
        <w:tc>
          <w:tcPr>
            <w:tcW w:w="3561" w:type="dxa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774000" w:rsidRPr="00D96822" w:rsidRDefault="00EE6AAC" w:rsidP="008924F6">
            <w:pPr>
              <w:pStyle w:val="Default"/>
              <w:rPr>
                <w:bCs/>
              </w:rPr>
            </w:pPr>
            <w:r>
              <w:rPr>
                <w:bCs/>
              </w:rPr>
              <w:t>Procenat</w:t>
            </w:r>
            <w:r w:rsidRPr="00EE6AAC">
              <w:rPr>
                <w:bCs/>
              </w:rPr>
              <w:t xml:space="preserve"> pregledanih izvora monitoringa</w:t>
            </w:r>
          </w:p>
        </w:tc>
        <w:tc>
          <w:tcPr>
            <w:tcW w:w="2708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</w:tcPr>
          <w:p w:rsidR="00774000" w:rsidRPr="008924F6" w:rsidRDefault="00EE6AAC" w:rsidP="00EE6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46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</w:tcBorders>
            <w:vAlign w:val="center"/>
          </w:tcPr>
          <w:p w:rsidR="00774000" w:rsidRPr="008924F6" w:rsidRDefault="00EE6AAC" w:rsidP="00EE6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E6AAC" w:rsidRPr="00B65CBF" w:rsidTr="00FE00DA">
        <w:trPr>
          <w:trHeight w:val="195"/>
        </w:trPr>
        <w:tc>
          <w:tcPr>
            <w:tcW w:w="3561" w:type="dxa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EAF1DD" w:themeFill="accent3" w:themeFillTint="33"/>
            <w:vAlign w:val="center"/>
          </w:tcPr>
          <w:p w:rsidR="00EE6AAC" w:rsidRPr="00B65CBF" w:rsidRDefault="00EE6AAC" w:rsidP="00FE00DA">
            <w:pPr>
              <w:pStyle w:val="Default"/>
            </w:pPr>
            <w:r w:rsidRPr="00B65CBF">
              <w:lastRenderedPageBreak/>
              <w:t>Pokazatelji uspjeha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EAF1DD" w:themeFill="accent3" w:themeFillTint="33"/>
            <w:vAlign w:val="center"/>
          </w:tcPr>
          <w:p w:rsidR="00EE6AAC" w:rsidRPr="00B65CBF" w:rsidRDefault="00EE6AAC" w:rsidP="00EE6AAC">
            <w:pPr>
              <w:pStyle w:val="Default"/>
              <w:jc w:val="center"/>
            </w:pPr>
            <w:r w:rsidRPr="00B65CBF">
              <w:t xml:space="preserve">Početna vrijednost </w:t>
            </w:r>
            <w:r>
              <w:t>(</w:t>
            </w:r>
            <w:r>
              <w:t>broj</w:t>
            </w:r>
            <w:r>
              <w:t xml:space="preserve">) </w:t>
            </w:r>
            <w:r w:rsidRPr="00B65CBF">
              <w:t>201</w:t>
            </w:r>
            <w:r>
              <w:t>6</w:t>
            </w:r>
            <w:r w:rsidRPr="00B65CBF">
              <w:t>.</w:t>
            </w:r>
          </w:p>
        </w:tc>
        <w:tc>
          <w:tcPr>
            <w:tcW w:w="2746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EAF1DD" w:themeFill="accent3" w:themeFillTint="33"/>
            <w:vAlign w:val="center"/>
          </w:tcPr>
          <w:p w:rsidR="00EE6AAC" w:rsidRPr="00B65CBF" w:rsidRDefault="00EE6AAC" w:rsidP="00EE6AAC">
            <w:pPr>
              <w:pStyle w:val="Default"/>
              <w:jc w:val="center"/>
            </w:pPr>
            <w:r w:rsidRPr="00B65CBF">
              <w:t xml:space="preserve">Očekivana vrijednost </w:t>
            </w:r>
            <w:r>
              <w:t>(</w:t>
            </w:r>
            <w:r>
              <w:t>broj</w:t>
            </w:r>
            <w:r>
              <w:t xml:space="preserve">) </w:t>
            </w:r>
            <w:r w:rsidRPr="00B65CBF">
              <w:t>201</w:t>
            </w:r>
            <w:r>
              <w:t>9</w:t>
            </w:r>
            <w:r w:rsidRPr="00B65CBF">
              <w:t>.</w:t>
            </w:r>
            <w:r>
              <w:t xml:space="preserve"> </w:t>
            </w:r>
          </w:p>
        </w:tc>
      </w:tr>
      <w:tr w:rsidR="00774000" w:rsidTr="008924F6">
        <w:trPr>
          <w:trHeight w:val="317"/>
        </w:trPr>
        <w:tc>
          <w:tcPr>
            <w:tcW w:w="3561" w:type="dxa"/>
            <w:tcBorders>
              <w:top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</w:tcPr>
          <w:p w:rsidR="00774000" w:rsidRPr="00D96822" w:rsidRDefault="00EE6AAC" w:rsidP="008924F6">
            <w:pPr>
              <w:pStyle w:val="Default"/>
              <w:rPr>
                <w:bCs/>
              </w:rPr>
            </w:pPr>
            <w:r w:rsidRPr="00EE6AAC">
              <w:rPr>
                <w:bCs/>
              </w:rPr>
              <w:t>Jačanje kapaciteta ugovornih organa kroz broj educiranih službenika za javne nabavke</w:t>
            </w:r>
          </w:p>
        </w:tc>
        <w:tc>
          <w:tcPr>
            <w:tcW w:w="2708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vAlign w:val="center"/>
          </w:tcPr>
          <w:p w:rsidR="00774000" w:rsidRPr="008924F6" w:rsidRDefault="00EE6AAC" w:rsidP="00892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746" w:type="dxa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</w:tcBorders>
            <w:vAlign w:val="center"/>
          </w:tcPr>
          <w:p w:rsidR="00774000" w:rsidRPr="008924F6" w:rsidRDefault="00EE6AAC" w:rsidP="00892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</w:tbl>
    <w:p w:rsidR="00EE6784" w:rsidRDefault="00D96822" w:rsidP="00EE6784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:rsidR="00D96822" w:rsidRDefault="00D96822" w:rsidP="00EE6784">
      <w:pPr>
        <w:spacing w:after="0"/>
        <w:jc w:val="both"/>
        <w:rPr>
          <w:bCs/>
          <w:sz w:val="24"/>
          <w:szCs w:val="24"/>
        </w:rPr>
      </w:pPr>
    </w:p>
    <w:p w:rsidR="002D4858" w:rsidRPr="002D4858" w:rsidRDefault="002D4858" w:rsidP="002D4858">
      <w:pPr>
        <w:pStyle w:val="Heading2"/>
        <w:spacing w:before="0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bookmarkStart w:id="19" w:name="_Toc438565177"/>
      <w:r>
        <w:rPr>
          <w:rFonts w:ascii="Times New Roman" w:hAnsi="Times New Roman" w:cs="Times New Roman"/>
          <w:color w:val="365F91" w:themeColor="accent1" w:themeShade="BF"/>
        </w:rPr>
        <w:t>6</w:t>
      </w:r>
      <w:r w:rsidRPr="00C177AD">
        <w:rPr>
          <w:rFonts w:ascii="Times New Roman" w:hAnsi="Times New Roman" w:cs="Times New Roman"/>
          <w:color w:val="365F91" w:themeColor="accent1" w:themeShade="BF"/>
        </w:rPr>
        <w:t>.</w:t>
      </w:r>
      <w:r>
        <w:rPr>
          <w:rFonts w:ascii="Times New Roman" w:hAnsi="Times New Roman" w:cs="Times New Roman"/>
          <w:color w:val="365F91" w:themeColor="accent1" w:themeShade="BF"/>
        </w:rPr>
        <w:t>2</w:t>
      </w:r>
      <w:r w:rsidRPr="00C177AD">
        <w:rPr>
          <w:rFonts w:ascii="Times New Roman" w:hAnsi="Times New Roman" w:cs="Times New Roman"/>
          <w:color w:val="365F91" w:themeColor="accent1" w:themeShade="BF"/>
        </w:rPr>
        <w:t xml:space="preserve">. </w:t>
      </w:r>
      <w:proofErr w:type="spellStart"/>
      <w:r w:rsidRPr="002D4858">
        <w:rPr>
          <w:rFonts w:asciiTheme="minorHAnsi" w:hAnsiTheme="minorHAnsi" w:cstheme="minorHAnsi"/>
          <w:color w:val="365F91" w:themeColor="accent1" w:themeShade="BF"/>
          <w:sz w:val="24"/>
          <w:szCs w:val="24"/>
          <w:lang w:val="en-US"/>
        </w:rPr>
        <w:t>Metode</w:t>
      </w:r>
      <w:proofErr w:type="spellEnd"/>
      <w:r w:rsidRPr="002D4858">
        <w:rPr>
          <w:rFonts w:asciiTheme="minorHAnsi" w:hAnsiTheme="minorHAnsi" w:cstheme="minorHAnsi"/>
          <w:color w:val="365F91" w:themeColor="accent1" w:themeShade="BF"/>
          <w:sz w:val="24"/>
          <w:szCs w:val="24"/>
          <w:lang w:val="en-US"/>
        </w:rPr>
        <w:t xml:space="preserve"> </w:t>
      </w:r>
      <w:proofErr w:type="spellStart"/>
      <w:r w:rsidRPr="002D4858">
        <w:rPr>
          <w:rFonts w:asciiTheme="minorHAnsi" w:hAnsiTheme="minorHAnsi" w:cstheme="minorHAnsi"/>
          <w:color w:val="365F91" w:themeColor="accent1" w:themeShade="BF"/>
          <w:sz w:val="24"/>
          <w:szCs w:val="24"/>
          <w:lang w:val="en-US"/>
        </w:rPr>
        <w:t>za</w:t>
      </w:r>
      <w:proofErr w:type="spellEnd"/>
      <w:r w:rsidRPr="002D4858">
        <w:rPr>
          <w:rFonts w:asciiTheme="minorHAnsi" w:hAnsiTheme="minorHAnsi" w:cstheme="minorHAnsi"/>
          <w:color w:val="365F91" w:themeColor="accent1" w:themeShade="BF"/>
          <w:sz w:val="24"/>
          <w:szCs w:val="24"/>
          <w:lang w:val="en-US"/>
        </w:rPr>
        <w:t xml:space="preserve"> </w:t>
      </w:r>
      <w:proofErr w:type="spellStart"/>
      <w:r w:rsidRPr="002D4858">
        <w:rPr>
          <w:rFonts w:asciiTheme="minorHAnsi" w:hAnsiTheme="minorHAnsi" w:cstheme="minorHAnsi"/>
          <w:color w:val="365F91" w:themeColor="accent1" w:themeShade="BF"/>
          <w:sz w:val="24"/>
          <w:szCs w:val="24"/>
          <w:lang w:val="en-US"/>
        </w:rPr>
        <w:t>prikupljanje</w:t>
      </w:r>
      <w:proofErr w:type="spellEnd"/>
      <w:r w:rsidRPr="002D4858">
        <w:rPr>
          <w:rFonts w:asciiTheme="minorHAnsi" w:hAnsiTheme="minorHAnsi" w:cstheme="minorHAnsi"/>
          <w:color w:val="365F91" w:themeColor="accent1" w:themeShade="BF"/>
          <w:sz w:val="24"/>
          <w:szCs w:val="24"/>
          <w:lang w:val="en-US"/>
        </w:rPr>
        <w:t xml:space="preserve"> </w:t>
      </w:r>
      <w:proofErr w:type="spellStart"/>
      <w:r w:rsidRPr="002D4858">
        <w:rPr>
          <w:rFonts w:asciiTheme="minorHAnsi" w:hAnsiTheme="minorHAnsi" w:cstheme="minorHAnsi"/>
          <w:color w:val="365F91" w:themeColor="accent1" w:themeShade="BF"/>
          <w:sz w:val="24"/>
          <w:szCs w:val="24"/>
          <w:lang w:val="en-US"/>
        </w:rPr>
        <w:t>informacija</w:t>
      </w:r>
      <w:proofErr w:type="spellEnd"/>
      <w:r w:rsidRPr="002D4858">
        <w:rPr>
          <w:rFonts w:asciiTheme="minorHAnsi" w:hAnsiTheme="minorHAnsi" w:cstheme="minorHAnsi"/>
          <w:color w:val="365F91" w:themeColor="accent1" w:themeShade="BF"/>
          <w:sz w:val="24"/>
          <w:szCs w:val="24"/>
          <w:lang w:val="en-US"/>
        </w:rPr>
        <w:t xml:space="preserve"> o </w:t>
      </w:r>
      <w:proofErr w:type="spellStart"/>
      <w:r w:rsidRPr="002D4858">
        <w:rPr>
          <w:rFonts w:asciiTheme="minorHAnsi" w:hAnsiTheme="minorHAnsi" w:cstheme="minorHAnsi"/>
          <w:color w:val="365F91" w:themeColor="accent1" w:themeShade="BF"/>
          <w:sz w:val="24"/>
          <w:szCs w:val="24"/>
          <w:lang w:val="en-US"/>
        </w:rPr>
        <w:t>pokazateljima</w:t>
      </w:r>
      <w:bookmarkEnd w:id="19"/>
      <w:proofErr w:type="spellEnd"/>
    </w:p>
    <w:p w:rsidR="002D4858" w:rsidRDefault="002D4858" w:rsidP="002D485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3"/>
          <w:szCs w:val="23"/>
          <w:lang w:val="en-US"/>
        </w:rPr>
      </w:pPr>
    </w:p>
    <w:p w:rsidR="002D4858" w:rsidRPr="002D4858" w:rsidRDefault="002D4858" w:rsidP="002D4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Agencija</w:t>
      </w:r>
      <w:proofErr w:type="spell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>informacije</w:t>
      </w:r>
      <w:proofErr w:type="spell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o </w:t>
      </w:r>
      <w:proofErr w:type="spellStart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>pokazateljima</w:t>
      </w:r>
      <w:proofErr w:type="spell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>rezultata</w:t>
      </w:r>
      <w:proofErr w:type="spell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>i</w:t>
      </w:r>
      <w:proofErr w:type="spell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>pokazateljima</w:t>
      </w:r>
      <w:proofErr w:type="spell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>uspjeha</w:t>
      </w:r>
      <w:proofErr w:type="spell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>prikuplja</w:t>
      </w:r>
      <w:proofErr w:type="spell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>iz</w:t>
      </w:r>
      <w:proofErr w:type="spell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>svih</w:t>
      </w:r>
      <w:proofErr w:type="spell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>dostupnih</w:t>
      </w:r>
      <w:proofErr w:type="spell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>izvora</w:t>
      </w:r>
      <w:proofErr w:type="spell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>koji</w:t>
      </w:r>
      <w:proofErr w:type="spell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>su</w:t>
      </w:r>
      <w:proofErr w:type="spell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spellStart"/>
      <w:proofErr w:type="gramStart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>na</w:t>
      </w:r>
      <w:proofErr w:type="spellEnd"/>
      <w:proofErr w:type="gram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>raspolaganju</w:t>
      </w:r>
      <w:proofErr w:type="spell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</w:t>
      </w:r>
    </w:p>
    <w:p w:rsidR="002D4858" w:rsidRDefault="002D4858" w:rsidP="002D4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</w:p>
    <w:p w:rsidR="002D4858" w:rsidRDefault="002D4858" w:rsidP="002D4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proofErr w:type="spellStart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>Prikupljanje</w:t>
      </w:r>
      <w:proofErr w:type="spell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>podataka</w:t>
      </w:r>
      <w:proofErr w:type="spell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spellStart"/>
      <w:proofErr w:type="gramStart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>će</w:t>
      </w:r>
      <w:proofErr w:type="spellEnd"/>
      <w:proofErr w:type="gram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se </w:t>
      </w:r>
      <w:proofErr w:type="spellStart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>provoditi</w:t>
      </w:r>
      <w:proofErr w:type="spell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>kontinuirano</w:t>
      </w:r>
      <w:proofErr w:type="spell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</w:t>
      </w:r>
    </w:p>
    <w:p w:rsidR="002D4858" w:rsidRDefault="002D4858" w:rsidP="002D4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</w:p>
    <w:p w:rsidR="002D4858" w:rsidRPr="002D4858" w:rsidRDefault="002D4858" w:rsidP="002D4858">
      <w:pPr>
        <w:pStyle w:val="Heading2"/>
        <w:spacing w:before="0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bookmarkStart w:id="20" w:name="_Toc438565178"/>
      <w:r>
        <w:rPr>
          <w:rFonts w:ascii="Times New Roman" w:hAnsi="Times New Roman" w:cs="Times New Roman"/>
          <w:color w:val="365F91" w:themeColor="accent1" w:themeShade="BF"/>
        </w:rPr>
        <w:t>6</w:t>
      </w:r>
      <w:r w:rsidRPr="00C177AD">
        <w:rPr>
          <w:rFonts w:ascii="Times New Roman" w:hAnsi="Times New Roman" w:cs="Times New Roman"/>
          <w:color w:val="365F91" w:themeColor="accent1" w:themeShade="BF"/>
        </w:rPr>
        <w:t>.</w:t>
      </w:r>
      <w:r>
        <w:rPr>
          <w:rFonts w:ascii="Times New Roman" w:hAnsi="Times New Roman" w:cs="Times New Roman"/>
          <w:color w:val="365F91" w:themeColor="accent1" w:themeShade="BF"/>
        </w:rPr>
        <w:t>3</w:t>
      </w:r>
      <w:r w:rsidRPr="00C177AD">
        <w:rPr>
          <w:rFonts w:ascii="Times New Roman" w:hAnsi="Times New Roman" w:cs="Times New Roman"/>
          <w:color w:val="365F91" w:themeColor="accent1" w:themeShade="BF"/>
        </w:rPr>
        <w:t xml:space="preserve">. </w:t>
      </w:r>
      <w:proofErr w:type="spellStart"/>
      <w:r w:rsidRPr="002D4858">
        <w:rPr>
          <w:rFonts w:asciiTheme="minorHAnsi" w:hAnsiTheme="minorHAnsi" w:cstheme="minorHAnsi"/>
          <w:color w:val="365F91" w:themeColor="accent1" w:themeShade="BF"/>
          <w:sz w:val="24"/>
          <w:szCs w:val="24"/>
          <w:lang w:val="en-US"/>
        </w:rPr>
        <w:t>Osnovni</w:t>
      </w:r>
      <w:proofErr w:type="spellEnd"/>
      <w:r w:rsidRPr="002D4858">
        <w:rPr>
          <w:rFonts w:asciiTheme="minorHAnsi" w:hAnsiTheme="minorHAnsi" w:cstheme="minorHAnsi"/>
          <w:color w:val="365F91" w:themeColor="accent1" w:themeShade="BF"/>
          <w:sz w:val="24"/>
          <w:szCs w:val="24"/>
          <w:lang w:val="en-US"/>
        </w:rPr>
        <w:t xml:space="preserve"> </w:t>
      </w:r>
      <w:proofErr w:type="spellStart"/>
      <w:r w:rsidRPr="002D4858">
        <w:rPr>
          <w:rFonts w:asciiTheme="minorHAnsi" w:hAnsiTheme="minorHAnsi" w:cstheme="minorHAnsi"/>
          <w:color w:val="365F91" w:themeColor="accent1" w:themeShade="BF"/>
          <w:sz w:val="24"/>
          <w:szCs w:val="24"/>
          <w:lang w:val="en-US"/>
        </w:rPr>
        <w:t>zaključci</w:t>
      </w:r>
      <w:proofErr w:type="spellEnd"/>
      <w:r w:rsidRPr="002D4858">
        <w:rPr>
          <w:rFonts w:asciiTheme="minorHAnsi" w:hAnsiTheme="minorHAnsi" w:cstheme="minorHAnsi"/>
          <w:color w:val="365F91" w:themeColor="accent1" w:themeShade="BF"/>
          <w:sz w:val="24"/>
          <w:szCs w:val="24"/>
          <w:lang w:val="en-US"/>
        </w:rPr>
        <w:t xml:space="preserve"> </w:t>
      </w:r>
      <w:proofErr w:type="spellStart"/>
      <w:r w:rsidRPr="002D4858">
        <w:rPr>
          <w:rFonts w:asciiTheme="minorHAnsi" w:hAnsiTheme="minorHAnsi" w:cstheme="minorHAnsi"/>
          <w:color w:val="365F91" w:themeColor="accent1" w:themeShade="BF"/>
          <w:sz w:val="24"/>
          <w:szCs w:val="24"/>
          <w:lang w:val="en-US"/>
        </w:rPr>
        <w:t>prethodnog</w:t>
      </w:r>
      <w:proofErr w:type="spellEnd"/>
      <w:r w:rsidRPr="002D4858">
        <w:rPr>
          <w:rFonts w:asciiTheme="minorHAnsi" w:hAnsiTheme="minorHAnsi" w:cstheme="minorHAnsi"/>
          <w:color w:val="365F91" w:themeColor="accent1" w:themeShade="BF"/>
          <w:sz w:val="24"/>
          <w:szCs w:val="24"/>
          <w:lang w:val="en-US"/>
        </w:rPr>
        <w:t xml:space="preserve"> </w:t>
      </w:r>
      <w:proofErr w:type="spellStart"/>
      <w:r w:rsidRPr="002D4858">
        <w:rPr>
          <w:rFonts w:asciiTheme="minorHAnsi" w:hAnsiTheme="minorHAnsi" w:cstheme="minorHAnsi"/>
          <w:color w:val="365F91" w:themeColor="accent1" w:themeShade="BF"/>
          <w:sz w:val="24"/>
          <w:szCs w:val="24"/>
          <w:lang w:val="en-US"/>
        </w:rPr>
        <w:t>Izvještaja</w:t>
      </w:r>
      <w:proofErr w:type="spellEnd"/>
      <w:r w:rsidRPr="002D4858">
        <w:rPr>
          <w:rFonts w:asciiTheme="minorHAnsi" w:hAnsiTheme="minorHAnsi" w:cstheme="minorHAnsi"/>
          <w:color w:val="365F91" w:themeColor="accent1" w:themeShade="BF"/>
          <w:sz w:val="24"/>
          <w:szCs w:val="24"/>
          <w:lang w:val="en-US"/>
        </w:rPr>
        <w:t xml:space="preserve"> o </w:t>
      </w:r>
      <w:proofErr w:type="spellStart"/>
      <w:r w:rsidRPr="002D4858">
        <w:rPr>
          <w:rFonts w:asciiTheme="minorHAnsi" w:hAnsiTheme="minorHAnsi" w:cstheme="minorHAnsi"/>
          <w:color w:val="365F91" w:themeColor="accent1" w:themeShade="BF"/>
          <w:sz w:val="24"/>
          <w:szCs w:val="24"/>
          <w:lang w:val="en-US"/>
        </w:rPr>
        <w:t>provođenju</w:t>
      </w:r>
      <w:proofErr w:type="spellEnd"/>
      <w:r w:rsidRPr="002D4858">
        <w:rPr>
          <w:rFonts w:asciiTheme="minorHAnsi" w:hAnsiTheme="minorHAnsi" w:cstheme="minorHAnsi"/>
          <w:color w:val="365F91" w:themeColor="accent1" w:themeShade="BF"/>
          <w:sz w:val="24"/>
          <w:szCs w:val="24"/>
          <w:lang w:val="en-US"/>
        </w:rPr>
        <w:t xml:space="preserve"> </w:t>
      </w:r>
      <w:proofErr w:type="spellStart"/>
      <w:r w:rsidRPr="002D4858">
        <w:rPr>
          <w:rFonts w:asciiTheme="minorHAnsi" w:hAnsiTheme="minorHAnsi" w:cstheme="minorHAnsi"/>
          <w:color w:val="365F91" w:themeColor="accent1" w:themeShade="BF"/>
          <w:sz w:val="24"/>
          <w:szCs w:val="24"/>
          <w:lang w:val="en-US"/>
        </w:rPr>
        <w:t>plana</w:t>
      </w:r>
      <w:proofErr w:type="spellEnd"/>
      <w:r w:rsidRPr="002D4858">
        <w:rPr>
          <w:rFonts w:asciiTheme="minorHAnsi" w:hAnsiTheme="minorHAnsi" w:cstheme="minorHAnsi"/>
          <w:color w:val="365F91" w:themeColor="accent1" w:themeShade="BF"/>
          <w:sz w:val="24"/>
          <w:szCs w:val="24"/>
          <w:lang w:val="en-US"/>
        </w:rPr>
        <w:t xml:space="preserve"> </w:t>
      </w:r>
      <w:proofErr w:type="spellStart"/>
      <w:r w:rsidRPr="002D4858">
        <w:rPr>
          <w:rFonts w:asciiTheme="minorHAnsi" w:hAnsiTheme="minorHAnsi" w:cstheme="minorHAnsi"/>
          <w:color w:val="365F91" w:themeColor="accent1" w:themeShade="BF"/>
          <w:sz w:val="24"/>
          <w:szCs w:val="24"/>
          <w:lang w:val="en-US"/>
        </w:rPr>
        <w:t>rada</w:t>
      </w:r>
      <w:bookmarkEnd w:id="20"/>
      <w:proofErr w:type="spellEnd"/>
    </w:p>
    <w:p w:rsidR="002D4858" w:rsidRDefault="002D4858" w:rsidP="002D4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</w:p>
    <w:p w:rsidR="002D4858" w:rsidRDefault="002D4858" w:rsidP="002D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proofErr w:type="spellStart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>Obaveza</w:t>
      </w:r>
      <w:proofErr w:type="spell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>izrade</w:t>
      </w:r>
      <w:proofErr w:type="spell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>srednjoročnog</w:t>
      </w:r>
      <w:proofErr w:type="spell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>plana</w:t>
      </w:r>
      <w:proofErr w:type="spell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>rada</w:t>
      </w:r>
      <w:proofErr w:type="spell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>institucija</w:t>
      </w:r>
      <w:proofErr w:type="spell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>BiH</w:t>
      </w:r>
      <w:proofErr w:type="spell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>uvedena</w:t>
      </w:r>
      <w:proofErr w:type="spell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je </w:t>
      </w:r>
      <w:proofErr w:type="spellStart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>Odlukom</w:t>
      </w:r>
      <w:proofErr w:type="spell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o </w:t>
      </w:r>
      <w:proofErr w:type="spellStart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>postupku</w:t>
      </w:r>
      <w:proofErr w:type="spell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>srednjoročnog</w:t>
      </w:r>
      <w:proofErr w:type="spell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>planiranja</w:t>
      </w:r>
      <w:proofErr w:type="spell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, </w:t>
      </w:r>
      <w:proofErr w:type="spellStart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>praćenja</w:t>
      </w:r>
      <w:proofErr w:type="spell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>i</w:t>
      </w:r>
      <w:proofErr w:type="spell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>izvještavanja</w:t>
      </w:r>
      <w:proofErr w:type="spell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u </w:t>
      </w:r>
      <w:proofErr w:type="spellStart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>institucijama</w:t>
      </w:r>
      <w:proofErr w:type="spell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>BiH</w:t>
      </w:r>
      <w:proofErr w:type="spell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(„</w:t>
      </w:r>
      <w:proofErr w:type="spellStart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>Službeni</w:t>
      </w:r>
      <w:proofErr w:type="spell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>glasnik</w:t>
      </w:r>
      <w:proofErr w:type="spell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>BiH</w:t>
      </w:r>
      <w:proofErr w:type="spell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”, </w:t>
      </w:r>
      <w:proofErr w:type="spellStart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>broj</w:t>
      </w:r>
      <w:proofErr w:type="spell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62/14), a </w:t>
      </w:r>
      <w:proofErr w:type="spellStart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>primjenjuje</w:t>
      </w:r>
      <w:proofErr w:type="spell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se </w:t>
      </w:r>
      <w:proofErr w:type="gramStart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>od</w:t>
      </w:r>
      <w:proofErr w:type="gram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1.1.2015. </w:t>
      </w:r>
      <w:proofErr w:type="spellStart"/>
      <w:proofErr w:type="gramStart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>godine</w:t>
      </w:r>
      <w:proofErr w:type="spellEnd"/>
      <w:proofErr w:type="gram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</w:t>
      </w:r>
    </w:p>
    <w:p w:rsidR="002D4858" w:rsidRPr="002D4858" w:rsidRDefault="002D4858" w:rsidP="002D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</w:p>
    <w:p w:rsidR="002D4858" w:rsidRPr="002D4858" w:rsidRDefault="002D4858" w:rsidP="002D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proofErr w:type="spellStart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>Ovaj</w:t>
      </w:r>
      <w:proofErr w:type="spell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>dokument</w:t>
      </w:r>
      <w:proofErr w:type="spell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>predstavlja</w:t>
      </w:r>
      <w:proofErr w:type="spell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>prvi</w:t>
      </w:r>
      <w:proofErr w:type="spell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>srednjoročni</w:t>
      </w:r>
      <w:proofErr w:type="spell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plan </w:t>
      </w:r>
      <w:proofErr w:type="spellStart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>rada</w:t>
      </w:r>
      <w:proofErr w:type="spell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Agencije</w:t>
      </w:r>
      <w:proofErr w:type="spellEnd"/>
      <w:r w:rsidRPr="002D4858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</w:t>
      </w:r>
    </w:p>
    <w:p w:rsidR="002D4858" w:rsidRDefault="002D4858" w:rsidP="002D485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  <w:lang w:val="en-US"/>
        </w:rPr>
      </w:pPr>
    </w:p>
    <w:p w:rsidR="002D4858" w:rsidRPr="00DC72FB" w:rsidRDefault="002D4858" w:rsidP="002D4858">
      <w:pPr>
        <w:pStyle w:val="Heading1"/>
        <w:spacing w:before="0"/>
      </w:pPr>
      <w:bookmarkStart w:id="21" w:name="_Toc438565179"/>
      <w:r w:rsidRPr="00DC72FB">
        <w:t xml:space="preserve">Poglavlje </w:t>
      </w:r>
      <w:r>
        <w:t>7</w:t>
      </w:r>
      <w:r w:rsidRPr="00DC72FB">
        <w:t xml:space="preserve">: </w:t>
      </w:r>
      <w:proofErr w:type="spellStart"/>
      <w:r w:rsidRPr="002D4858">
        <w:rPr>
          <w:rFonts w:ascii="Cambria" w:hAnsi="Cambria" w:cs="Cambria"/>
          <w:bCs/>
          <w:lang w:val="en-US"/>
        </w:rPr>
        <w:t>Prilozi</w:t>
      </w:r>
      <w:bookmarkEnd w:id="21"/>
      <w:proofErr w:type="spellEnd"/>
    </w:p>
    <w:p w:rsidR="002D4858" w:rsidRDefault="002D4858" w:rsidP="002D485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86"/>
      </w:tblGrid>
      <w:tr w:rsidR="009D4DFB" w:rsidTr="00426823">
        <w:tc>
          <w:tcPr>
            <w:tcW w:w="1276" w:type="dxa"/>
          </w:tcPr>
          <w:p w:rsidR="009D4DFB" w:rsidRDefault="00426823" w:rsidP="002D485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</w:pPr>
            <w:proofErr w:type="spellStart"/>
            <w:r w:rsidRPr="002D4858">
              <w:rPr>
                <w:rFonts w:cstheme="minorHAnsi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t>Prilog</w:t>
            </w:r>
            <w:proofErr w:type="spellEnd"/>
            <w:r w:rsidRPr="002D4858">
              <w:rPr>
                <w:rFonts w:cstheme="minorHAnsi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t xml:space="preserve"> 1: </w:t>
            </w:r>
            <w:r>
              <w:rPr>
                <w:rFonts w:cstheme="minorHAnsi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7786" w:type="dxa"/>
          </w:tcPr>
          <w:p w:rsidR="00426823" w:rsidRPr="002D4858" w:rsidRDefault="00426823" w:rsidP="00426823">
            <w:pPr>
              <w:autoSpaceDE w:val="0"/>
              <w:autoSpaceDN w:val="0"/>
              <w:adjustRightInd w:val="0"/>
              <w:rPr>
                <w:rFonts w:cstheme="minorHAnsi"/>
                <w:b/>
                <w:color w:val="365F91" w:themeColor="accent1" w:themeShade="BF"/>
                <w:sz w:val="28"/>
                <w:szCs w:val="28"/>
                <w:lang w:val="en-US"/>
              </w:rPr>
            </w:pPr>
            <w:proofErr w:type="spellStart"/>
            <w:r w:rsidRPr="002D4858">
              <w:rPr>
                <w:rFonts w:cstheme="minorHAnsi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t>Akcioni</w:t>
            </w:r>
            <w:proofErr w:type="spellEnd"/>
            <w:r w:rsidRPr="002D4858">
              <w:rPr>
                <w:rFonts w:cstheme="minorHAnsi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t xml:space="preserve"> plan </w:t>
            </w:r>
            <w:proofErr w:type="spellStart"/>
            <w:r w:rsidRPr="002D4858">
              <w:rPr>
                <w:rFonts w:cstheme="minorHAnsi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t>Srednjoročnog</w:t>
            </w:r>
            <w:proofErr w:type="spellEnd"/>
            <w:r w:rsidRPr="002D4858">
              <w:rPr>
                <w:rFonts w:cstheme="minorHAnsi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4858">
              <w:rPr>
                <w:rFonts w:cstheme="minorHAnsi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t>plana</w:t>
            </w:r>
            <w:proofErr w:type="spellEnd"/>
            <w:r w:rsidRPr="002D4858">
              <w:rPr>
                <w:rFonts w:cstheme="minorHAnsi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4858">
              <w:rPr>
                <w:rFonts w:cstheme="minorHAnsi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t>rada</w:t>
            </w:r>
            <w:proofErr w:type="spellEnd"/>
            <w:r w:rsidRPr="002D4858">
              <w:rPr>
                <w:rFonts w:cstheme="minorHAnsi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786E">
              <w:rPr>
                <w:rFonts w:cstheme="minorHAnsi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t>Agencije</w:t>
            </w:r>
            <w:proofErr w:type="spellEnd"/>
            <w:r w:rsidRPr="002D4858">
              <w:rPr>
                <w:rFonts w:cstheme="minorHAnsi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</w:p>
          <w:p w:rsidR="009D4DFB" w:rsidRDefault="009D4DFB" w:rsidP="002D485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</w:pPr>
          </w:p>
        </w:tc>
      </w:tr>
      <w:tr w:rsidR="00426823" w:rsidTr="00426823">
        <w:tc>
          <w:tcPr>
            <w:tcW w:w="1276" w:type="dxa"/>
          </w:tcPr>
          <w:p w:rsidR="00426823" w:rsidRPr="002D4858" w:rsidRDefault="00426823" w:rsidP="002D485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</w:pPr>
            <w:proofErr w:type="spellStart"/>
            <w:r>
              <w:rPr>
                <w:rFonts w:cstheme="minorHAnsi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t>Prilog</w:t>
            </w:r>
            <w:proofErr w:type="spellEnd"/>
            <w:r>
              <w:rPr>
                <w:rFonts w:cstheme="minorHAnsi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t xml:space="preserve"> 2:</w:t>
            </w:r>
          </w:p>
        </w:tc>
        <w:tc>
          <w:tcPr>
            <w:tcW w:w="7786" w:type="dxa"/>
          </w:tcPr>
          <w:p w:rsidR="00426823" w:rsidRDefault="00426823" w:rsidP="002D485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</w:pPr>
            <w:proofErr w:type="spellStart"/>
            <w:r w:rsidRPr="00DC786E">
              <w:rPr>
                <w:rFonts w:cstheme="minorHAnsi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t>Pregled</w:t>
            </w:r>
            <w:proofErr w:type="spellEnd"/>
            <w:r w:rsidRPr="00DC786E">
              <w:rPr>
                <w:rFonts w:cstheme="minorHAnsi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786E">
              <w:rPr>
                <w:rFonts w:cstheme="minorHAnsi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t>zakona</w:t>
            </w:r>
            <w:proofErr w:type="spellEnd"/>
            <w:r w:rsidRPr="00DC786E">
              <w:rPr>
                <w:rFonts w:cstheme="minorHAnsi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786E">
              <w:rPr>
                <w:rFonts w:cstheme="minorHAnsi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t>i</w:t>
            </w:r>
            <w:proofErr w:type="spellEnd"/>
            <w:r w:rsidRPr="00DC786E">
              <w:rPr>
                <w:rFonts w:cstheme="minorHAnsi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786E">
              <w:rPr>
                <w:rFonts w:cstheme="minorHAnsi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t>drugih</w:t>
            </w:r>
            <w:proofErr w:type="spellEnd"/>
            <w:r w:rsidRPr="00DC786E">
              <w:rPr>
                <w:rFonts w:cstheme="minorHAnsi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786E">
              <w:rPr>
                <w:rFonts w:cstheme="minorHAnsi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t>propisa</w:t>
            </w:r>
            <w:proofErr w:type="spellEnd"/>
            <w:r w:rsidRPr="00DC786E">
              <w:rPr>
                <w:rFonts w:cstheme="minorHAnsi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786E">
              <w:rPr>
                <w:rFonts w:cstheme="minorHAnsi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t>predviđenih</w:t>
            </w:r>
            <w:proofErr w:type="spellEnd"/>
            <w:r w:rsidRPr="00DC786E">
              <w:rPr>
                <w:rFonts w:cstheme="minorHAnsi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786E">
              <w:rPr>
                <w:rFonts w:cstheme="minorHAnsi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t>Srednjoročnim</w:t>
            </w:r>
            <w:proofErr w:type="spellEnd"/>
            <w:r w:rsidRPr="00DC786E">
              <w:rPr>
                <w:rFonts w:cstheme="minorHAnsi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786E">
              <w:rPr>
                <w:rFonts w:cstheme="minorHAnsi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t>planom</w:t>
            </w:r>
            <w:proofErr w:type="spellEnd"/>
            <w:r w:rsidRPr="00DC786E">
              <w:rPr>
                <w:rFonts w:cstheme="minorHAnsi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786E">
              <w:rPr>
                <w:rFonts w:cstheme="minorHAnsi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t>rada</w:t>
            </w:r>
            <w:proofErr w:type="spellEnd"/>
            <w:r w:rsidRPr="00DC786E">
              <w:rPr>
                <w:rFonts w:cstheme="minorHAnsi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786E">
              <w:rPr>
                <w:rFonts w:cstheme="minorHAnsi"/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t>Agencije</w:t>
            </w:r>
            <w:proofErr w:type="spellEnd"/>
          </w:p>
        </w:tc>
      </w:tr>
    </w:tbl>
    <w:p w:rsidR="009D4DFB" w:rsidRDefault="009D4DFB" w:rsidP="002D485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65F91" w:themeColor="accent1" w:themeShade="BF"/>
          <w:sz w:val="28"/>
          <w:szCs w:val="28"/>
          <w:lang w:val="en-US"/>
        </w:rPr>
      </w:pPr>
    </w:p>
    <w:p w:rsidR="009D4DFB" w:rsidRDefault="009D4DFB" w:rsidP="002D485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65F91" w:themeColor="accent1" w:themeShade="BF"/>
          <w:sz w:val="28"/>
          <w:szCs w:val="28"/>
          <w:lang w:val="en-US"/>
        </w:rPr>
      </w:pPr>
    </w:p>
    <w:p w:rsidR="009D4DFB" w:rsidRDefault="009D4DFB" w:rsidP="002D485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65F91" w:themeColor="accent1" w:themeShade="BF"/>
          <w:sz w:val="28"/>
          <w:szCs w:val="28"/>
          <w:lang w:val="en-US"/>
        </w:rPr>
      </w:pPr>
    </w:p>
    <w:p w:rsidR="00DC786E" w:rsidRPr="00DC786E" w:rsidRDefault="00DC786E" w:rsidP="002D4858">
      <w:pPr>
        <w:spacing w:after="0"/>
        <w:jc w:val="both"/>
        <w:rPr>
          <w:rFonts w:cstheme="minorHAnsi"/>
          <w:b/>
          <w:bCs/>
          <w:color w:val="365F91" w:themeColor="accent1" w:themeShade="BF"/>
          <w:sz w:val="28"/>
          <w:szCs w:val="28"/>
          <w:lang w:val="en-US"/>
        </w:rPr>
      </w:pPr>
    </w:p>
    <w:p w:rsidR="00077428" w:rsidRPr="00DC786E" w:rsidRDefault="009D4DFB" w:rsidP="002D4858">
      <w:pPr>
        <w:spacing w:after="0"/>
        <w:jc w:val="both"/>
        <w:rPr>
          <w:rFonts w:cstheme="minorHAnsi"/>
          <w:b/>
          <w:bCs/>
          <w:color w:val="365F91" w:themeColor="accent1" w:themeShade="BF"/>
          <w:sz w:val="28"/>
          <w:szCs w:val="28"/>
        </w:rPr>
      </w:pPr>
      <w:r>
        <w:rPr>
          <w:rFonts w:cstheme="minorHAnsi"/>
          <w:b/>
          <w:bCs/>
          <w:color w:val="365F91" w:themeColor="accent1" w:themeShade="BF"/>
          <w:sz w:val="28"/>
          <w:szCs w:val="28"/>
          <w:lang w:val="en-US"/>
        </w:rPr>
        <w:t xml:space="preserve">        </w:t>
      </w:r>
      <w:bookmarkEnd w:id="8"/>
    </w:p>
    <w:sectPr w:rsidR="00077428" w:rsidRPr="00DC786E" w:rsidSect="0014367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84C" w:rsidRDefault="00CF084C" w:rsidP="00974067">
      <w:pPr>
        <w:spacing w:after="0" w:line="240" w:lineRule="auto"/>
      </w:pPr>
      <w:r>
        <w:separator/>
      </w:r>
    </w:p>
  </w:endnote>
  <w:endnote w:type="continuationSeparator" w:id="0">
    <w:p w:rsidR="00CF084C" w:rsidRDefault="00CF084C" w:rsidP="0097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01844"/>
      <w:docPartObj>
        <w:docPartGallery w:val="Page Numbers (Bottom of Page)"/>
        <w:docPartUnique/>
      </w:docPartObj>
    </w:sdtPr>
    <w:sdtEndPr/>
    <w:sdtContent>
      <w:p w:rsidR="00E0611F" w:rsidRDefault="00E061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D8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0611F" w:rsidRDefault="00E061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11F" w:rsidRPr="003A78DF" w:rsidRDefault="00CF084C" w:rsidP="0014367C">
    <w:pPr>
      <w:pStyle w:val="Footer"/>
      <w:pBdr>
        <w:top w:val="single" w:sz="4" w:space="1" w:color="A5A5A5" w:themeColor="background1" w:themeShade="A5"/>
      </w:pBdr>
      <w:jc w:val="center"/>
      <w:rPr>
        <w:color w:val="000000" w:themeColor="text1"/>
        <w:sz w:val="24"/>
        <w:szCs w:val="24"/>
      </w:rPr>
    </w:pPr>
    <w:sdt>
      <w:sdtPr>
        <w:rPr>
          <w:noProof/>
          <w:color w:val="000000" w:themeColor="text1"/>
          <w:sz w:val="24"/>
          <w:szCs w:val="24"/>
        </w:rPr>
        <w:alias w:val="Company"/>
        <w:id w:val="76161118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E0611F">
          <w:rPr>
            <w:noProof/>
            <w:color w:val="000000" w:themeColor="text1"/>
            <w:sz w:val="24"/>
            <w:szCs w:val="24"/>
          </w:rPr>
          <w:t>Sarajevo</w:t>
        </w:r>
        <w:r w:rsidR="00E0611F" w:rsidRPr="003A78DF">
          <w:rPr>
            <w:noProof/>
            <w:color w:val="000000" w:themeColor="text1"/>
            <w:sz w:val="24"/>
            <w:szCs w:val="24"/>
          </w:rPr>
          <w:t xml:space="preserve">, </w:t>
        </w:r>
        <w:r w:rsidR="00772C4E">
          <w:rPr>
            <w:noProof/>
            <w:color w:val="000000" w:themeColor="text1"/>
            <w:sz w:val="24"/>
            <w:szCs w:val="24"/>
          </w:rPr>
          <w:t>april</w:t>
        </w:r>
      </w:sdtContent>
    </w:sdt>
    <w:r w:rsidR="00E0611F" w:rsidRPr="003A78DF">
      <w:rPr>
        <w:noProof/>
        <w:color w:val="000000" w:themeColor="text1"/>
        <w:sz w:val="24"/>
        <w:szCs w:val="24"/>
      </w:rPr>
      <w:t>, 201</w:t>
    </w:r>
    <w:r w:rsidR="00772C4E">
      <w:rPr>
        <w:noProof/>
        <w:color w:val="000000" w:themeColor="text1"/>
        <w:sz w:val="24"/>
        <w:szCs w:val="24"/>
      </w:rPr>
      <w:t>6</w:t>
    </w:r>
    <w:r w:rsidR="00E0611F" w:rsidRPr="003A78DF">
      <w:rPr>
        <w:noProof/>
        <w:color w:val="000000" w:themeColor="text1"/>
        <w:sz w:val="24"/>
        <w:szCs w:val="24"/>
      </w:rPr>
      <w:t>. godine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84C" w:rsidRDefault="00CF084C" w:rsidP="00974067">
      <w:pPr>
        <w:spacing w:after="0" w:line="240" w:lineRule="auto"/>
      </w:pPr>
      <w:r>
        <w:separator/>
      </w:r>
    </w:p>
  </w:footnote>
  <w:footnote w:type="continuationSeparator" w:id="0">
    <w:p w:rsidR="00CF084C" w:rsidRDefault="00CF084C" w:rsidP="00974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11F" w:rsidRPr="002872A2" w:rsidRDefault="00E0611F" w:rsidP="0014367C">
    <w:pPr>
      <w:keepNext/>
      <w:spacing w:after="0" w:line="240" w:lineRule="auto"/>
      <w:jc w:val="center"/>
      <w:outlineLvl w:val="0"/>
      <w:rPr>
        <w:rFonts w:ascii="Verdana" w:eastAsia="Times New Roman" w:hAnsi="Verdana" w:cs="Arial"/>
        <w:b/>
        <w:bCs/>
        <w:sz w:val="16"/>
        <w:szCs w:val="16"/>
        <w:lang w:val="hr-HR"/>
      </w:rPr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11F" w:rsidRPr="002872A2" w:rsidRDefault="00E0611F" w:rsidP="0014367C">
    <w:pPr>
      <w:keepNext/>
      <w:spacing w:after="0" w:line="240" w:lineRule="auto"/>
      <w:jc w:val="center"/>
      <w:outlineLvl w:val="0"/>
      <w:rPr>
        <w:rFonts w:ascii="Verdana" w:eastAsia="Times New Roman" w:hAnsi="Verdana" w:cs="Arial"/>
        <w:b/>
        <w:bCs/>
        <w:sz w:val="20"/>
        <w:szCs w:val="20"/>
        <w:lang w:val="hr-HR"/>
      </w:rPr>
    </w:pPr>
    <w:r w:rsidRPr="002872A2">
      <w:rPr>
        <w:rFonts w:ascii="Verdana" w:eastAsia="Times New Roman" w:hAnsi="Verdana" w:cs="Arial"/>
        <w:b/>
        <w:bCs/>
        <w:sz w:val="20"/>
        <w:szCs w:val="20"/>
        <w:lang w:val="hr-HR"/>
      </w:rPr>
      <w:t xml:space="preserve">BOSNA I HERCEGOVINA           </w:t>
    </w:r>
    <w:r w:rsidRPr="002872A2">
      <w:rPr>
        <w:rFonts w:ascii="Verdana" w:eastAsia="Times New Roman" w:hAnsi="Verdana" w:cs="Arial"/>
        <w:b/>
        <w:bCs/>
        <w:sz w:val="20"/>
        <w:szCs w:val="20"/>
        <w:lang w:val="hr-HR"/>
      </w:rPr>
      <w:object w:dxaOrig="1098" w:dyaOrig="13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.5pt;height:36pt" o:ole="">
          <v:imagedata r:id="rId1" o:title=""/>
        </v:shape>
        <o:OLEObject Type="Embed" ProgID="CorelDraw.Graphic.7" ShapeID="_x0000_i1025" DrawAspect="Content" ObjectID="_1527404112" r:id="rId2"/>
      </w:object>
    </w:r>
    <w:r w:rsidRPr="002872A2">
      <w:rPr>
        <w:rFonts w:ascii="Verdana" w:eastAsia="Times New Roman" w:hAnsi="Verdana" w:cs="Arial"/>
        <w:b/>
        <w:bCs/>
        <w:sz w:val="20"/>
        <w:szCs w:val="20"/>
        <w:lang w:val="hr-HR"/>
      </w:rPr>
      <w:t xml:space="preserve">           </w:t>
    </w:r>
    <w:r w:rsidRPr="002872A2">
      <w:rPr>
        <w:rFonts w:ascii="Verdana" w:eastAsia="Times New Roman" w:hAnsi="Verdana" w:cs="Arial"/>
        <w:b/>
        <w:bCs/>
        <w:sz w:val="20"/>
        <w:szCs w:val="20"/>
        <w:lang w:val="sr-Cyrl-CS"/>
      </w:rPr>
      <w:t>БОСНА И ХЕРЦЕГОВИНА</w:t>
    </w:r>
  </w:p>
  <w:p w:rsidR="00E0611F" w:rsidRPr="002872A2" w:rsidRDefault="00E0611F" w:rsidP="0014367C">
    <w:pPr>
      <w:keepNext/>
      <w:spacing w:after="0" w:line="240" w:lineRule="auto"/>
      <w:jc w:val="both"/>
      <w:outlineLvl w:val="0"/>
      <w:rPr>
        <w:rFonts w:ascii="Arial" w:eastAsia="Times New Roman" w:hAnsi="Arial" w:cs="Arial"/>
        <w:b/>
        <w:bCs/>
        <w:sz w:val="16"/>
        <w:szCs w:val="16"/>
      </w:rPr>
    </w:pPr>
    <w:r>
      <w:rPr>
        <w:rFonts w:ascii="Verdana" w:eastAsia="Times New Roman" w:hAnsi="Verdana" w:cs="Arial"/>
        <w:b/>
        <w:bCs/>
        <w:sz w:val="16"/>
        <w:szCs w:val="16"/>
        <w:lang w:val="hr-HR"/>
      </w:rPr>
      <w:t xml:space="preserve">     </w:t>
    </w:r>
    <w:r w:rsidRPr="002872A2">
      <w:rPr>
        <w:rFonts w:ascii="Verdana" w:eastAsia="Times New Roman" w:hAnsi="Verdana" w:cs="Arial"/>
        <w:b/>
        <w:bCs/>
        <w:sz w:val="16"/>
        <w:szCs w:val="16"/>
        <w:lang w:val="hr-HR"/>
      </w:rPr>
      <w:t xml:space="preserve">AGENCIJA ZA JAVNE NABAVKE/NABAVE                </w:t>
    </w:r>
    <w:r>
      <w:rPr>
        <w:rFonts w:ascii="Verdana" w:eastAsia="Times New Roman" w:hAnsi="Verdana" w:cs="Arial"/>
        <w:b/>
        <w:bCs/>
        <w:sz w:val="16"/>
        <w:szCs w:val="16"/>
        <w:lang w:val="hr-HR"/>
      </w:rPr>
      <w:t xml:space="preserve">        </w:t>
    </w:r>
    <w:r w:rsidRPr="002872A2">
      <w:rPr>
        <w:rFonts w:ascii="Verdana" w:eastAsia="Times New Roman" w:hAnsi="Verdana" w:cs="Arial"/>
        <w:b/>
        <w:bCs/>
        <w:sz w:val="16"/>
        <w:szCs w:val="16"/>
        <w:lang w:val="sr-Cyrl-CS"/>
      </w:rPr>
      <w:t>АГЕНЦИЈА ЗА ЈА</w:t>
    </w:r>
    <w:r w:rsidRPr="002872A2">
      <w:rPr>
        <w:rFonts w:ascii="Verdana" w:eastAsia="Times New Roman" w:hAnsi="Verdana" w:cs="Arial"/>
        <w:b/>
        <w:bCs/>
        <w:sz w:val="16"/>
        <w:szCs w:val="16"/>
        <w:lang w:val="hr-HR"/>
      </w:rPr>
      <w:t>B</w:t>
    </w:r>
    <w:r w:rsidRPr="002872A2">
      <w:rPr>
        <w:rFonts w:ascii="Verdana" w:eastAsia="Times New Roman" w:hAnsi="Verdana" w:cs="Arial"/>
        <w:b/>
        <w:bCs/>
        <w:sz w:val="16"/>
        <w:szCs w:val="16"/>
        <w:lang w:val="sr-Cyrl-CS"/>
      </w:rPr>
      <w:t>НЕ НАБАВКЕ</w:t>
    </w:r>
  </w:p>
  <w:p w:rsidR="00E0611F" w:rsidRPr="002872A2" w:rsidRDefault="00E0611F" w:rsidP="0014367C">
    <w:pPr>
      <w:spacing w:after="0" w:line="240" w:lineRule="auto"/>
      <w:jc w:val="center"/>
      <w:rPr>
        <w:rFonts w:ascii="Verdana" w:eastAsia="Times New Roman" w:hAnsi="Verdana" w:cs="Arial"/>
        <w:b/>
        <w:bCs/>
        <w:sz w:val="20"/>
        <w:szCs w:val="20"/>
        <w:lang w:val="hr-HR"/>
      </w:rPr>
    </w:pPr>
    <w:r w:rsidRPr="002872A2">
      <w:rPr>
        <w:rFonts w:ascii="Verdana" w:eastAsia="Times New Roman" w:hAnsi="Verdana" w:cs="Arial"/>
        <w:b/>
        <w:bCs/>
        <w:sz w:val="20"/>
        <w:szCs w:val="20"/>
        <w:lang w:val="hr-HR"/>
      </w:rPr>
      <w:t>BOSNIA AND HERZEGOVINA</w:t>
    </w:r>
  </w:p>
  <w:p w:rsidR="00E0611F" w:rsidRPr="002872A2" w:rsidRDefault="00E0611F" w:rsidP="0014367C">
    <w:pPr>
      <w:keepNext/>
      <w:pBdr>
        <w:bottom w:val="single" w:sz="12" w:space="1" w:color="auto"/>
      </w:pBdr>
      <w:spacing w:after="0" w:line="240" w:lineRule="auto"/>
      <w:jc w:val="center"/>
      <w:outlineLvl w:val="1"/>
      <w:rPr>
        <w:rFonts w:ascii="Verdana" w:eastAsia="Times New Roman" w:hAnsi="Verdana" w:cs="Arial"/>
        <w:b/>
        <w:bCs/>
        <w:sz w:val="16"/>
        <w:szCs w:val="16"/>
        <w:lang w:val="hr-HR"/>
      </w:rPr>
    </w:pPr>
    <w:r w:rsidRPr="002872A2">
      <w:rPr>
        <w:rFonts w:ascii="Verdana" w:eastAsia="Times New Roman" w:hAnsi="Verdana" w:cs="Arial"/>
        <w:b/>
        <w:bCs/>
        <w:sz w:val="16"/>
        <w:szCs w:val="16"/>
        <w:lang w:val="hr-HR"/>
      </w:rPr>
      <w:t>PUBLIC PROCUREMENT AGENCY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4082"/>
    <w:multiLevelType w:val="hybridMultilevel"/>
    <w:tmpl w:val="F7762A1C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15829"/>
    <w:multiLevelType w:val="hybridMultilevel"/>
    <w:tmpl w:val="76367B2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83C28"/>
    <w:multiLevelType w:val="hybridMultilevel"/>
    <w:tmpl w:val="1866836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11470B"/>
    <w:multiLevelType w:val="hybridMultilevel"/>
    <w:tmpl w:val="9DD0B47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D6036"/>
    <w:multiLevelType w:val="hybridMultilevel"/>
    <w:tmpl w:val="4352194E"/>
    <w:lvl w:ilvl="0" w:tplc="8FAC23D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57B355D"/>
    <w:multiLevelType w:val="hybridMultilevel"/>
    <w:tmpl w:val="7862D1A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803ADB"/>
    <w:multiLevelType w:val="hybridMultilevel"/>
    <w:tmpl w:val="3840534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A653F7"/>
    <w:multiLevelType w:val="hybridMultilevel"/>
    <w:tmpl w:val="2BA00C5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DA3320"/>
    <w:multiLevelType w:val="hybridMultilevel"/>
    <w:tmpl w:val="1F4AA6CC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121655"/>
    <w:multiLevelType w:val="hybridMultilevel"/>
    <w:tmpl w:val="78DC0DF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F72943"/>
    <w:multiLevelType w:val="hybridMultilevel"/>
    <w:tmpl w:val="1F4AA6CC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220617"/>
    <w:multiLevelType w:val="hybridMultilevel"/>
    <w:tmpl w:val="3AC0549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3555DC"/>
    <w:multiLevelType w:val="hybridMultilevel"/>
    <w:tmpl w:val="8E58304E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1C2B94"/>
    <w:multiLevelType w:val="hybridMultilevel"/>
    <w:tmpl w:val="311C8BA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68E"/>
    <w:multiLevelType w:val="hybridMultilevel"/>
    <w:tmpl w:val="2BA00C5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8974CC"/>
    <w:multiLevelType w:val="multilevel"/>
    <w:tmpl w:val="EB0E28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DFA4D5A"/>
    <w:multiLevelType w:val="hybridMultilevel"/>
    <w:tmpl w:val="AD3C6A1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9550DF"/>
    <w:multiLevelType w:val="hybridMultilevel"/>
    <w:tmpl w:val="048A7DD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284123"/>
    <w:multiLevelType w:val="hybridMultilevel"/>
    <w:tmpl w:val="01E280B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9"/>
  </w:num>
  <w:num w:numId="5">
    <w:abstractNumId w:val="6"/>
  </w:num>
  <w:num w:numId="6">
    <w:abstractNumId w:val="17"/>
  </w:num>
  <w:num w:numId="7">
    <w:abstractNumId w:val="5"/>
  </w:num>
  <w:num w:numId="8">
    <w:abstractNumId w:val="12"/>
  </w:num>
  <w:num w:numId="9">
    <w:abstractNumId w:val="16"/>
  </w:num>
  <w:num w:numId="10">
    <w:abstractNumId w:val="11"/>
  </w:num>
  <w:num w:numId="11">
    <w:abstractNumId w:val="2"/>
  </w:num>
  <w:num w:numId="12">
    <w:abstractNumId w:val="14"/>
  </w:num>
  <w:num w:numId="13">
    <w:abstractNumId w:val="7"/>
  </w:num>
  <w:num w:numId="14">
    <w:abstractNumId w:val="0"/>
  </w:num>
  <w:num w:numId="15">
    <w:abstractNumId w:val="18"/>
  </w:num>
  <w:num w:numId="16">
    <w:abstractNumId w:val="10"/>
  </w:num>
  <w:num w:numId="17">
    <w:abstractNumId w:val="8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CA"/>
    <w:rsid w:val="00002A6C"/>
    <w:rsid w:val="000038C7"/>
    <w:rsid w:val="00005E4B"/>
    <w:rsid w:val="00005F72"/>
    <w:rsid w:val="000065D9"/>
    <w:rsid w:val="00006FD1"/>
    <w:rsid w:val="00010C66"/>
    <w:rsid w:val="0003647C"/>
    <w:rsid w:val="00040571"/>
    <w:rsid w:val="00044274"/>
    <w:rsid w:val="000550CF"/>
    <w:rsid w:val="000552C8"/>
    <w:rsid w:val="0006170E"/>
    <w:rsid w:val="000638C8"/>
    <w:rsid w:val="000711E7"/>
    <w:rsid w:val="0007249D"/>
    <w:rsid w:val="00077428"/>
    <w:rsid w:val="000827D1"/>
    <w:rsid w:val="00085BE7"/>
    <w:rsid w:val="000879DE"/>
    <w:rsid w:val="00087B1D"/>
    <w:rsid w:val="00093E7D"/>
    <w:rsid w:val="00095286"/>
    <w:rsid w:val="000969F8"/>
    <w:rsid w:val="000A1AD3"/>
    <w:rsid w:val="000A3993"/>
    <w:rsid w:val="000A3B54"/>
    <w:rsid w:val="000A6CC6"/>
    <w:rsid w:val="000B2E77"/>
    <w:rsid w:val="000B38E8"/>
    <w:rsid w:val="000C014B"/>
    <w:rsid w:val="000C3B7D"/>
    <w:rsid w:val="000C4840"/>
    <w:rsid w:val="000C50C3"/>
    <w:rsid w:val="000C6AB7"/>
    <w:rsid w:val="000D0830"/>
    <w:rsid w:val="000D5891"/>
    <w:rsid w:val="000D66CD"/>
    <w:rsid w:val="000E28C8"/>
    <w:rsid w:val="000E4B9A"/>
    <w:rsid w:val="000F4B62"/>
    <w:rsid w:val="000F57A5"/>
    <w:rsid w:val="00100AE4"/>
    <w:rsid w:val="001017B5"/>
    <w:rsid w:val="00110009"/>
    <w:rsid w:val="001131D9"/>
    <w:rsid w:val="001171F5"/>
    <w:rsid w:val="00117FA5"/>
    <w:rsid w:val="0012237E"/>
    <w:rsid w:val="001226D7"/>
    <w:rsid w:val="0012556B"/>
    <w:rsid w:val="001262D2"/>
    <w:rsid w:val="00127E4B"/>
    <w:rsid w:val="001300CE"/>
    <w:rsid w:val="00130E13"/>
    <w:rsid w:val="0013245A"/>
    <w:rsid w:val="00136E20"/>
    <w:rsid w:val="0014367C"/>
    <w:rsid w:val="001450F3"/>
    <w:rsid w:val="00150A3F"/>
    <w:rsid w:val="00150EEA"/>
    <w:rsid w:val="001511BD"/>
    <w:rsid w:val="00155434"/>
    <w:rsid w:val="0015668E"/>
    <w:rsid w:val="00156A85"/>
    <w:rsid w:val="00166CAC"/>
    <w:rsid w:val="001711F7"/>
    <w:rsid w:val="00171D80"/>
    <w:rsid w:val="00173F89"/>
    <w:rsid w:val="001801E9"/>
    <w:rsid w:val="00180263"/>
    <w:rsid w:val="00180EFE"/>
    <w:rsid w:val="00181F3C"/>
    <w:rsid w:val="00182AF1"/>
    <w:rsid w:val="00182B94"/>
    <w:rsid w:val="00185922"/>
    <w:rsid w:val="00193A3B"/>
    <w:rsid w:val="00193CFC"/>
    <w:rsid w:val="001A4BD6"/>
    <w:rsid w:val="001B2AE1"/>
    <w:rsid w:val="001B2F82"/>
    <w:rsid w:val="001B4CC9"/>
    <w:rsid w:val="001B536E"/>
    <w:rsid w:val="001B5E39"/>
    <w:rsid w:val="001B6595"/>
    <w:rsid w:val="001B6801"/>
    <w:rsid w:val="001C2678"/>
    <w:rsid w:val="001C2DF9"/>
    <w:rsid w:val="001C62AF"/>
    <w:rsid w:val="001C6529"/>
    <w:rsid w:val="001C687E"/>
    <w:rsid w:val="001C6A1D"/>
    <w:rsid w:val="001C700E"/>
    <w:rsid w:val="001D230F"/>
    <w:rsid w:val="001D566E"/>
    <w:rsid w:val="001E0310"/>
    <w:rsid w:val="001E0774"/>
    <w:rsid w:val="001E2C50"/>
    <w:rsid w:val="001E43E0"/>
    <w:rsid w:val="001E6CF3"/>
    <w:rsid w:val="001F27CC"/>
    <w:rsid w:val="001F60E2"/>
    <w:rsid w:val="002055D7"/>
    <w:rsid w:val="00205973"/>
    <w:rsid w:val="00215A73"/>
    <w:rsid w:val="0022181F"/>
    <w:rsid w:val="00222588"/>
    <w:rsid w:val="00223B0E"/>
    <w:rsid w:val="00225D7E"/>
    <w:rsid w:val="002309F4"/>
    <w:rsid w:val="00231328"/>
    <w:rsid w:val="00232219"/>
    <w:rsid w:val="00233F49"/>
    <w:rsid w:val="0023407B"/>
    <w:rsid w:val="002354F6"/>
    <w:rsid w:val="002358A6"/>
    <w:rsid w:val="002424A7"/>
    <w:rsid w:val="00242DBF"/>
    <w:rsid w:val="00243775"/>
    <w:rsid w:val="00247247"/>
    <w:rsid w:val="002522B6"/>
    <w:rsid w:val="00252B4C"/>
    <w:rsid w:val="0025443A"/>
    <w:rsid w:val="00255AD4"/>
    <w:rsid w:val="00260CD2"/>
    <w:rsid w:val="002612D0"/>
    <w:rsid w:val="002615EC"/>
    <w:rsid w:val="00274502"/>
    <w:rsid w:val="002808AF"/>
    <w:rsid w:val="00280FD8"/>
    <w:rsid w:val="002834AB"/>
    <w:rsid w:val="00283A6D"/>
    <w:rsid w:val="00284381"/>
    <w:rsid w:val="0028680F"/>
    <w:rsid w:val="00287288"/>
    <w:rsid w:val="002872A2"/>
    <w:rsid w:val="00290406"/>
    <w:rsid w:val="0029167F"/>
    <w:rsid w:val="002A298A"/>
    <w:rsid w:val="002A310C"/>
    <w:rsid w:val="002B49E1"/>
    <w:rsid w:val="002B55A1"/>
    <w:rsid w:val="002C1474"/>
    <w:rsid w:val="002C2470"/>
    <w:rsid w:val="002C7965"/>
    <w:rsid w:val="002C7ADE"/>
    <w:rsid w:val="002D3620"/>
    <w:rsid w:val="002D4858"/>
    <w:rsid w:val="002D6DB4"/>
    <w:rsid w:val="002E7D9A"/>
    <w:rsid w:val="002F3843"/>
    <w:rsid w:val="00300987"/>
    <w:rsid w:val="00301FF2"/>
    <w:rsid w:val="00304E64"/>
    <w:rsid w:val="0031019B"/>
    <w:rsid w:val="00310707"/>
    <w:rsid w:val="00311147"/>
    <w:rsid w:val="00312141"/>
    <w:rsid w:val="003147DC"/>
    <w:rsid w:val="00315D77"/>
    <w:rsid w:val="003173EE"/>
    <w:rsid w:val="003202BE"/>
    <w:rsid w:val="00320A11"/>
    <w:rsid w:val="00320CC3"/>
    <w:rsid w:val="00320D93"/>
    <w:rsid w:val="0032296D"/>
    <w:rsid w:val="003317A9"/>
    <w:rsid w:val="003337DF"/>
    <w:rsid w:val="00334005"/>
    <w:rsid w:val="003344E6"/>
    <w:rsid w:val="00336D6C"/>
    <w:rsid w:val="003500FA"/>
    <w:rsid w:val="00355767"/>
    <w:rsid w:val="0035658B"/>
    <w:rsid w:val="00360A45"/>
    <w:rsid w:val="00360BF9"/>
    <w:rsid w:val="0036251F"/>
    <w:rsid w:val="003629D8"/>
    <w:rsid w:val="00363A51"/>
    <w:rsid w:val="00366971"/>
    <w:rsid w:val="00376AD2"/>
    <w:rsid w:val="00377A99"/>
    <w:rsid w:val="00382ECB"/>
    <w:rsid w:val="003831CD"/>
    <w:rsid w:val="00383B2F"/>
    <w:rsid w:val="003850F8"/>
    <w:rsid w:val="00385E0F"/>
    <w:rsid w:val="003875B8"/>
    <w:rsid w:val="00391C89"/>
    <w:rsid w:val="00392E59"/>
    <w:rsid w:val="00394B08"/>
    <w:rsid w:val="003A03A8"/>
    <w:rsid w:val="003A0DDF"/>
    <w:rsid w:val="003A0E30"/>
    <w:rsid w:val="003A2622"/>
    <w:rsid w:val="003A50A0"/>
    <w:rsid w:val="003A69EF"/>
    <w:rsid w:val="003A78DF"/>
    <w:rsid w:val="003B1C90"/>
    <w:rsid w:val="003B1E49"/>
    <w:rsid w:val="003B672A"/>
    <w:rsid w:val="003C0D5D"/>
    <w:rsid w:val="003C6123"/>
    <w:rsid w:val="003D09AF"/>
    <w:rsid w:val="003D1C60"/>
    <w:rsid w:val="003D1ED5"/>
    <w:rsid w:val="003D6C04"/>
    <w:rsid w:val="003D740C"/>
    <w:rsid w:val="003E0187"/>
    <w:rsid w:val="003E06D5"/>
    <w:rsid w:val="003E0B02"/>
    <w:rsid w:val="003E1615"/>
    <w:rsid w:val="003E1FC4"/>
    <w:rsid w:val="003E30D1"/>
    <w:rsid w:val="003E3401"/>
    <w:rsid w:val="003E41FF"/>
    <w:rsid w:val="003E53EF"/>
    <w:rsid w:val="003E58D9"/>
    <w:rsid w:val="003E7193"/>
    <w:rsid w:val="003E74C5"/>
    <w:rsid w:val="003F388B"/>
    <w:rsid w:val="003F57DB"/>
    <w:rsid w:val="003F659E"/>
    <w:rsid w:val="003F6C55"/>
    <w:rsid w:val="003F760A"/>
    <w:rsid w:val="004011EB"/>
    <w:rsid w:val="004015E8"/>
    <w:rsid w:val="00402B22"/>
    <w:rsid w:val="00407875"/>
    <w:rsid w:val="004113AF"/>
    <w:rsid w:val="00411B57"/>
    <w:rsid w:val="00411D15"/>
    <w:rsid w:val="0041244E"/>
    <w:rsid w:val="00413144"/>
    <w:rsid w:val="00415C34"/>
    <w:rsid w:val="00420C05"/>
    <w:rsid w:val="00422C62"/>
    <w:rsid w:val="00425EF8"/>
    <w:rsid w:val="00426823"/>
    <w:rsid w:val="00426ADA"/>
    <w:rsid w:val="004304EE"/>
    <w:rsid w:val="00432058"/>
    <w:rsid w:val="004335C1"/>
    <w:rsid w:val="004354F7"/>
    <w:rsid w:val="0044317B"/>
    <w:rsid w:val="00446568"/>
    <w:rsid w:val="004528DD"/>
    <w:rsid w:val="004550B4"/>
    <w:rsid w:val="00456A9E"/>
    <w:rsid w:val="004578DF"/>
    <w:rsid w:val="004601CC"/>
    <w:rsid w:val="0046147D"/>
    <w:rsid w:val="00466C29"/>
    <w:rsid w:val="00471259"/>
    <w:rsid w:val="00472117"/>
    <w:rsid w:val="00474881"/>
    <w:rsid w:val="00474C6A"/>
    <w:rsid w:val="004750BD"/>
    <w:rsid w:val="00476C82"/>
    <w:rsid w:val="0048049C"/>
    <w:rsid w:val="0048306A"/>
    <w:rsid w:val="004859EB"/>
    <w:rsid w:val="00486A4D"/>
    <w:rsid w:val="00490411"/>
    <w:rsid w:val="00491056"/>
    <w:rsid w:val="00491B1C"/>
    <w:rsid w:val="00492651"/>
    <w:rsid w:val="00494588"/>
    <w:rsid w:val="004A02F7"/>
    <w:rsid w:val="004A1FBA"/>
    <w:rsid w:val="004A3DE9"/>
    <w:rsid w:val="004A4D3C"/>
    <w:rsid w:val="004A76E7"/>
    <w:rsid w:val="004B1475"/>
    <w:rsid w:val="004B196D"/>
    <w:rsid w:val="004B1D11"/>
    <w:rsid w:val="004B520D"/>
    <w:rsid w:val="004B7403"/>
    <w:rsid w:val="004C0AAE"/>
    <w:rsid w:val="004C503C"/>
    <w:rsid w:val="004D440B"/>
    <w:rsid w:val="004D4B40"/>
    <w:rsid w:val="004D627D"/>
    <w:rsid w:val="004E0CF6"/>
    <w:rsid w:val="004E2075"/>
    <w:rsid w:val="004E240E"/>
    <w:rsid w:val="004E2BE4"/>
    <w:rsid w:val="004E5E54"/>
    <w:rsid w:val="004E7CE0"/>
    <w:rsid w:val="004F0A6C"/>
    <w:rsid w:val="004F24E7"/>
    <w:rsid w:val="004F2A73"/>
    <w:rsid w:val="004F3054"/>
    <w:rsid w:val="004F32B6"/>
    <w:rsid w:val="004F61D4"/>
    <w:rsid w:val="004F671B"/>
    <w:rsid w:val="00502BFF"/>
    <w:rsid w:val="0050308E"/>
    <w:rsid w:val="0050432A"/>
    <w:rsid w:val="005119FC"/>
    <w:rsid w:val="00512C27"/>
    <w:rsid w:val="005139BA"/>
    <w:rsid w:val="0051442D"/>
    <w:rsid w:val="00514966"/>
    <w:rsid w:val="00514EC7"/>
    <w:rsid w:val="0052060F"/>
    <w:rsid w:val="00523FA4"/>
    <w:rsid w:val="00524BA2"/>
    <w:rsid w:val="00524E47"/>
    <w:rsid w:val="00527562"/>
    <w:rsid w:val="00527CEE"/>
    <w:rsid w:val="00531B16"/>
    <w:rsid w:val="0053436F"/>
    <w:rsid w:val="00535304"/>
    <w:rsid w:val="00537D00"/>
    <w:rsid w:val="00540BC1"/>
    <w:rsid w:val="00541D0A"/>
    <w:rsid w:val="00544F04"/>
    <w:rsid w:val="00547F1D"/>
    <w:rsid w:val="00550632"/>
    <w:rsid w:val="00555B4C"/>
    <w:rsid w:val="005577D2"/>
    <w:rsid w:val="00557DE6"/>
    <w:rsid w:val="00565744"/>
    <w:rsid w:val="0056739E"/>
    <w:rsid w:val="0056797F"/>
    <w:rsid w:val="00570CF0"/>
    <w:rsid w:val="00573854"/>
    <w:rsid w:val="00576AD6"/>
    <w:rsid w:val="00580A94"/>
    <w:rsid w:val="00583C9A"/>
    <w:rsid w:val="00585CD5"/>
    <w:rsid w:val="00587E20"/>
    <w:rsid w:val="00592038"/>
    <w:rsid w:val="0059494A"/>
    <w:rsid w:val="005967B4"/>
    <w:rsid w:val="005B066B"/>
    <w:rsid w:val="005B1912"/>
    <w:rsid w:val="005B573E"/>
    <w:rsid w:val="005B6EAD"/>
    <w:rsid w:val="005C3118"/>
    <w:rsid w:val="005C4492"/>
    <w:rsid w:val="005C5C2A"/>
    <w:rsid w:val="005C6FC1"/>
    <w:rsid w:val="005C76A5"/>
    <w:rsid w:val="005D0B55"/>
    <w:rsid w:val="005D1AAC"/>
    <w:rsid w:val="005D1BA4"/>
    <w:rsid w:val="005D282E"/>
    <w:rsid w:val="005D2BC4"/>
    <w:rsid w:val="005D6336"/>
    <w:rsid w:val="005D6B09"/>
    <w:rsid w:val="005D6E4F"/>
    <w:rsid w:val="005E1F36"/>
    <w:rsid w:val="005F1C31"/>
    <w:rsid w:val="005F4258"/>
    <w:rsid w:val="005F4AE3"/>
    <w:rsid w:val="005F7E13"/>
    <w:rsid w:val="00603969"/>
    <w:rsid w:val="00605D70"/>
    <w:rsid w:val="0061302C"/>
    <w:rsid w:val="006172FC"/>
    <w:rsid w:val="00620FC7"/>
    <w:rsid w:val="00623B70"/>
    <w:rsid w:val="00627C65"/>
    <w:rsid w:val="00630B57"/>
    <w:rsid w:val="0063178A"/>
    <w:rsid w:val="006327C9"/>
    <w:rsid w:val="00633754"/>
    <w:rsid w:val="00634D16"/>
    <w:rsid w:val="00636DCF"/>
    <w:rsid w:val="0063729C"/>
    <w:rsid w:val="006402CE"/>
    <w:rsid w:val="006456DB"/>
    <w:rsid w:val="00647A2D"/>
    <w:rsid w:val="00656D87"/>
    <w:rsid w:val="00656E29"/>
    <w:rsid w:val="006578EF"/>
    <w:rsid w:val="006615DC"/>
    <w:rsid w:val="00661E9B"/>
    <w:rsid w:val="0066692C"/>
    <w:rsid w:val="0067087F"/>
    <w:rsid w:val="00671F51"/>
    <w:rsid w:val="006769AD"/>
    <w:rsid w:val="00677015"/>
    <w:rsid w:val="006774C0"/>
    <w:rsid w:val="00684D64"/>
    <w:rsid w:val="0068578C"/>
    <w:rsid w:val="006868DE"/>
    <w:rsid w:val="00690512"/>
    <w:rsid w:val="00691F8E"/>
    <w:rsid w:val="00692210"/>
    <w:rsid w:val="0069579D"/>
    <w:rsid w:val="006A594E"/>
    <w:rsid w:val="006B2528"/>
    <w:rsid w:val="006B2B5B"/>
    <w:rsid w:val="006B3A80"/>
    <w:rsid w:val="006B58F3"/>
    <w:rsid w:val="006C25B4"/>
    <w:rsid w:val="006C6869"/>
    <w:rsid w:val="006C7FD9"/>
    <w:rsid w:val="006D0765"/>
    <w:rsid w:val="006D2B80"/>
    <w:rsid w:val="006D3D70"/>
    <w:rsid w:val="006D4616"/>
    <w:rsid w:val="006D5346"/>
    <w:rsid w:val="006D5A67"/>
    <w:rsid w:val="006E1FFF"/>
    <w:rsid w:val="006E2CC7"/>
    <w:rsid w:val="006E34D3"/>
    <w:rsid w:val="006E4323"/>
    <w:rsid w:val="006F192B"/>
    <w:rsid w:val="006F7454"/>
    <w:rsid w:val="0070094B"/>
    <w:rsid w:val="00701F9D"/>
    <w:rsid w:val="00702EA9"/>
    <w:rsid w:val="00704F03"/>
    <w:rsid w:val="00706913"/>
    <w:rsid w:val="00707299"/>
    <w:rsid w:val="007077CE"/>
    <w:rsid w:val="00710310"/>
    <w:rsid w:val="00710C49"/>
    <w:rsid w:val="0071381A"/>
    <w:rsid w:val="00713FC7"/>
    <w:rsid w:val="00716BDF"/>
    <w:rsid w:val="00717287"/>
    <w:rsid w:val="00720FBB"/>
    <w:rsid w:val="00724123"/>
    <w:rsid w:val="00727917"/>
    <w:rsid w:val="00732CA7"/>
    <w:rsid w:val="00734FD5"/>
    <w:rsid w:val="00747F8B"/>
    <w:rsid w:val="00750CE8"/>
    <w:rsid w:val="00751163"/>
    <w:rsid w:val="00752617"/>
    <w:rsid w:val="00753F8F"/>
    <w:rsid w:val="0075462E"/>
    <w:rsid w:val="007556EE"/>
    <w:rsid w:val="00757CCE"/>
    <w:rsid w:val="007605A8"/>
    <w:rsid w:val="00760613"/>
    <w:rsid w:val="00760824"/>
    <w:rsid w:val="00767BCA"/>
    <w:rsid w:val="007702CA"/>
    <w:rsid w:val="00772304"/>
    <w:rsid w:val="0077288B"/>
    <w:rsid w:val="00772C4E"/>
    <w:rsid w:val="00774000"/>
    <w:rsid w:val="007770C8"/>
    <w:rsid w:val="007814F3"/>
    <w:rsid w:val="00784EAD"/>
    <w:rsid w:val="00784ED8"/>
    <w:rsid w:val="00785EE9"/>
    <w:rsid w:val="00786DDE"/>
    <w:rsid w:val="007930E3"/>
    <w:rsid w:val="0079556C"/>
    <w:rsid w:val="007A042F"/>
    <w:rsid w:val="007A5378"/>
    <w:rsid w:val="007A6037"/>
    <w:rsid w:val="007B04E2"/>
    <w:rsid w:val="007B3CC9"/>
    <w:rsid w:val="007B4145"/>
    <w:rsid w:val="007B68C1"/>
    <w:rsid w:val="007C02BF"/>
    <w:rsid w:val="007C6C20"/>
    <w:rsid w:val="007C78EC"/>
    <w:rsid w:val="007D0D67"/>
    <w:rsid w:val="007D1A1A"/>
    <w:rsid w:val="007D52B0"/>
    <w:rsid w:val="007E0204"/>
    <w:rsid w:val="007E1F38"/>
    <w:rsid w:val="007E5151"/>
    <w:rsid w:val="007E61D4"/>
    <w:rsid w:val="00800AD6"/>
    <w:rsid w:val="00801050"/>
    <w:rsid w:val="00803BBF"/>
    <w:rsid w:val="008045C2"/>
    <w:rsid w:val="0080726E"/>
    <w:rsid w:val="00811353"/>
    <w:rsid w:val="00814648"/>
    <w:rsid w:val="008173C8"/>
    <w:rsid w:val="0082216E"/>
    <w:rsid w:val="00823238"/>
    <w:rsid w:val="00831005"/>
    <w:rsid w:val="00841942"/>
    <w:rsid w:val="00842AEE"/>
    <w:rsid w:val="00843BD8"/>
    <w:rsid w:val="00843FF8"/>
    <w:rsid w:val="00844363"/>
    <w:rsid w:val="00844865"/>
    <w:rsid w:val="00855B91"/>
    <w:rsid w:val="00857DA2"/>
    <w:rsid w:val="00862204"/>
    <w:rsid w:val="00870DFE"/>
    <w:rsid w:val="008771DF"/>
    <w:rsid w:val="00882570"/>
    <w:rsid w:val="008848B8"/>
    <w:rsid w:val="00886BDD"/>
    <w:rsid w:val="00887790"/>
    <w:rsid w:val="008924F6"/>
    <w:rsid w:val="00897051"/>
    <w:rsid w:val="00897973"/>
    <w:rsid w:val="008A01D4"/>
    <w:rsid w:val="008A0991"/>
    <w:rsid w:val="008A6DBA"/>
    <w:rsid w:val="008B312A"/>
    <w:rsid w:val="008B32F0"/>
    <w:rsid w:val="008B392D"/>
    <w:rsid w:val="008B61BF"/>
    <w:rsid w:val="008C2A51"/>
    <w:rsid w:val="008C75AB"/>
    <w:rsid w:val="008D082A"/>
    <w:rsid w:val="008D0F79"/>
    <w:rsid w:val="008D1BB6"/>
    <w:rsid w:val="008D33E9"/>
    <w:rsid w:val="008D4571"/>
    <w:rsid w:val="008D4979"/>
    <w:rsid w:val="008D7EC0"/>
    <w:rsid w:val="008E1C28"/>
    <w:rsid w:val="008E2247"/>
    <w:rsid w:val="008E45F8"/>
    <w:rsid w:val="008E6222"/>
    <w:rsid w:val="008E6F39"/>
    <w:rsid w:val="008F16FA"/>
    <w:rsid w:val="008F171D"/>
    <w:rsid w:val="008F562C"/>
    <w:rsid w:val="008F5CB6"/>
    <w:rsid w:val="008F6616"/>
    <w:rsid w:val="00901918"/>
    <w:rsid w:val="00901DD1"/>
    <w:rsid w:val="00902037"/>
    <w:rsid w:val="00903784"/>
    <w:rsid w:val="00904FB0"/>
    <w:rsid w:val="0090521D"/>
    <w:rsid w:val="0091742B"/>
    <w:rsid w:val="009234AF"/>
    <w:rsid w:val="00924277"/>
    <w:rsid w:val="00931E7D"/>
    <w:rsid w:val="0094131D"/>
    <w:rsid w:val="0094378B"/>
    <w:rsid w:val="00946A7E"/>
    <w:rsid w:val="00947C91"/>
    <w:rsid w:val="00950844"/>
    <w:rsid w:val="00950B43"/>
    <w:rsid w:val="00956666"/>
    <w:rsid w:val="00957F12"/>
    <w:rsid w:val="00960088"/>
    <w:rsid w:val="009629DE"/>
    <w:rsid w:val="00966261"/>
    <w:rsid w:val="00970E37"/>
    <w:rsid w:val="0097104A"/>
    <w:rsid w:val="009713FD"/>
    <w:rsid w:val="00974067"/>
    <w:rsid w:val="009753BF"/>
    <w:rsid w:val="00981BEF"/>
    <w:rsid w:val="0098203C"/>
    <w:rsid w:val="00982656"/>
    <w:rsid w:val="00985798"/>
    <w:rsid w:val="00996141"/>
    <w:rsid w:val="00996727"/>
    <w:rsid w:val="009967D7"/>
    <w:rsid w:val="00996D01"/>
    <w:rsid w:val="00997946"/>
    <w:rsid w:val="009A0DFC"/>
    <w:rsid w:val="009A2CA4"/>
    <w:rsid w:val="009A5C19"/>
    <w:rsid w:val="009A6629"/>
    <w:rsid w:val="009B0903"/>
    <w:rsid w:val="009B0FCA"/>
    <w:rsid w:val="009B5102"/>
    <w:rsid w:val="009C0A73"/>
    <w:rsid w:val="009C10C9"/>
    <w:rsid w:val="009C10D8"/>
    <w:rsid w:val="009C2AE3"/>
    <w:rsid w:val="009C2FE1"/>
    <w:rsid w:val="009C53E4"/>
    <w:rsid w:val="009C5B8B"/>
    <w:rsid w:val="009C5CE0"/>
    <w:rsid w:val="009C5FEA"/>
    <w:rsid w:val="009C7614"/>
    <w:rsid w:val="009D16C9"/>
    <w:rsid w:val="009D2BC7"/>
    <w:rsid w:val="009D4102"/>
    <w:rsid w:val="009D4DFB"/>
    <w:rsid w:val="009D5544"/>
    <w:rsid w:val="009D589C"/>
    <w:rsid w:val="009D64D0"/>
    <w:rsid w:val="009D7DB0"/>
    <w:rsid w:val="009E535C"/>
    <w:rsid w:val="009E61CB"/>
    <w:rsid w:val="009E6850"/>
    <w:rsid w:val="009E6DE1"/>
    <w:rsid w:val="009E7793"/>
    <w:rsid w:val="009F28E3"/>
    <w:rsid w:val="009F2B0D"/>
    <w:rsid w:val="009F2CC5"/>
    <w:rsid w:val="009F4D30"/>
    <w:rsid w:val="00A00555"/>
    <w:rsid w:val="00A0389C"/>
    <w:rsid w:val="00A04881"/>
    <w:rsid w:val="00A104BF"/>
    <w:rsid w:val="00A125C9"/>
    <w:rsid w:val="00A126D4"/>
    <w:rsid w:val="00A132C7"/>
    <w:rsid w:val="00A132DC"/>
    <w:rsid w:val="00A176CE"/>
    <w:rsid w:val="00A17E1F"/>
    <w:rsid w:val="00A205FE"/>
    <w:rsid w:val="00A23220"/>
    <w:rsid w:val="00A274DA"/>
    <w:rsid w:val="00A35224"/>
    <w:rsid w:val="00A3623D"/>
    <w:rsid w:val="00A36525"/>
    <w:rsid w:val="00A370E3"/>
    <w:rsid w:val="00A376A3"/>
    <w:rsid w:val="00A414C8"/>
    <w:rsid w:val="00A4641A"/>
    <w:rsid w:val="00A543C7"/>
    <w:rsid w:val="00A60257"/>
    <w:rsid w:val="00A61271"/>
    <w:rsid w:val="00A62530"/>
    <w:rsid w:val="00A62F34"/>
    <w:rsid w:val="00A63BE8"/>
    <w:rsid w:val="00A65568"/>
    <w:rsid w:val="00A7012E"/>
    <w:rsid w:val="00A72B46"/>
    <w:rsid w:val="00A7509B"/>
    <w:rsid w:val="00A832B9"/>
    <w:rsid w:val="00A84B9F"/>
    <w:rsid w:val="00A855EE"/>
    <w:rsid w:val="00A878A5"/>
    <w:rsid w:val="00A91DBD"/>
    <w:rsid w:val="00AA04DC"/>
    <w:rsid w:val="00AA0D46"/>
    <w:rsid w:val="00AA3133"/>
    <w:rsid w:val="00AA4BDE"/>
    <w:rsid w:val="00AA7143"/>
    <w:rsid w:val="00AA7792"/>
    <w:rsid w:val="00AA7A0B"/>
    <w:rsid w:val="00AB0E74"/>
    <w:rsid w:val="00AB3304"/>
    <w:rsid w:val="00AB3A35"/>
    <w:rsid w:val="00AB3E1F"/>
    <w:rsid w:val="00AB5A07"/>
    <w:rsid w:val="00AB7139"/>
    <w:rsid w:val="00AC11E3"/>
    <w:rsid w:val="00AC48CD"/>
    <w:rsid w:val="00AC515E"/>
    <w:rsid w:val="00AC6B5F"/>
    <w:rsid w:val="00AD00E3"/>
    <w:rsid w:val="00AD0290"/>
    <w:rsid w:val="00AD1E5C"/>
    <w:rsid w:val="00AD342B"/>
    <w:rsid w:val="00AD4E1E"/>
    <w:rsid w:val="00AD5B9D"/>
    <w:rsid w:val="00AD7D23"/>
    <w:rsid w:val="00AE0E0D"/>
    <w:rsid w:val="00AE4C0B"/>
    <w:rsid w:val="00AE5385"/>
    <w:rsid w:val="00AE5BD0"/>
    <w:rsid w:val="00AE5FE5"/>
    <w:rsid w:val="00AE710A"/>
    <w:rsid w:val="00AF67F9"/>
    <w:rsid w:val="00B012A5"/>
    <w:rsid w:val="00B01F4C"/>
    <w:rsid w:val="00B02CB2"/>
    <w:rsid w:val="00B04E63"/>
    <w:rsid w:val="00B06B7A"/>
    <w:rsid w:val="00B06FF8"/>
    <w:rsid w:val="00B07B22"/>
    <w:rsid w:val="00B112A1"/>
    <w:rsid w:val="00B1659C"/>
    <w:rsid w:val="00B16B31"/>
    <w:rsid w:val="00B206C9"/>
    <w:rsid w:val="00B2130F"/>
    <w:rsid w:val="00B21A59"/>
    <w:rsid w:val="00B2230C"/>
    <w:rsid w:val="00B23D87"/>
    <w:rsid w:val="00B25068"/>
    <w:rsid w:val="00B25756"/>
    <w:rsid w:val="00B26978"/>
    <w:rsid w:val="00B30E29"/>
    <w:rsid w:val="00B34407"/>
    <w:rsid w:val="00B348A1"/>
    <w:rsid w:val="00B34F89"/>
    <w:rsid w:val="00B365AC"/>
    <w:rsid w:val="00B4035A"/>
    <w:rsid w:val="00B40F13"/>
    <w:rsid w:val="00B41962"/>
    <w:rsid w:val="00B43177"/>
    <w:rsid w:val="00B4520E"/>
    <w:rsid w:val="00B46F34"/>
    <w:rsid w:val="00B47D6D"/>
    <w:rsid w:val="00B50AA6"/>
    <w:rsid w:val="00B516DB"/>
    <w:rsid w:val="00B53E39"/>
    <w:rsid w:val="00B5534D"/>
    <w:rsid w:val="00B55EFA"/>
    <w:rsid w:val="00B56057"/>
    <w:rsid w:val="00B5745D"/>
    <w:rsid w:val="00B57D56"/>
    <w:rsid w:val="00B61198"/>
    <w:rsid w:val="00B61C65"/>
    <w:rsid w:val="00B645B4"/>
    <w:rsid w:val="00B645CE"/>
    <w:rsid w:val="00B65C49"/>
    <w:rsid w:val="00B65CBF"/>
    <w:rsid w:val="00B66201"/>
    <w:rsid w:val="00B67364"/>
    <w:rsid w:val="00B675AD"/>
    <w:rsid w:val="00B71212"/>
    <w:rsid w:val="00B72632"/>
    <w:rsid w:val="00B743CC"/>
    <w:rsid w:val="00B81338"/>
    <w:rsid w:val="00B8403F"/>
    <w:rsid w:val="00B84739"/>
    <w:rsid w:val="00B857A8"/>
    <w:rsid w:val="00B92378"/>
    <w:rsid w:val="00B9264E"/>
    <w:rsid w:val="00BA00FF"/>
    <w:rsid w:val="00BA2D52"/>
    <w:rsid w:val="00BA470A"/>
    <w:rsid w:val="00BA6456"/>
    <w:rsid w:val="00BB4214"/>
    <w:rsid w:val="00BB4E37"/>
    <w:rsid w:val="00BB5A84"/>
    <w:rsid w:val="00BC140A"/>
    <w:rsid w:val="00BC28ED"/>
    <w:rsid w:val="00BD0679"/>
    <w:rsid w:val="00BD0909"/>
    <w:rsid w:val="00BD2AE6"/>
    <w:rsid w:val="00BD3AB5"/>
    <w:rsid w:val="00BD5D64"/>
    <w:rsid w:val="00BD64A1"/>
    <w:rsid w:val="00BE019D"/>
    <w:rsid w:val="00BE28D0"/>
    <w:rsid w:val="00BE29FC"/>
    <w:rsid w:val="00BE464A"/>
    <w:rsid w:val="00BE6855"/>
    <w:rsid w:val="00BE6E2E"/>
    <w:rsid w:val="00BF02D2"/>
    <w:rsid w:val="00BF51F5"/>
    <w:rsid w:val="00BF7FCA"/>
    <w:rsid w:val="00C04EBE"/>
    <w:rsid w:val="00C053CC"/>
    <w:rsid w:val="00C07AD1"/>
    <w:rsid w:val="00C07BB0"/>
    <w:rsid w:val="00C102BA"/>
    <w:rsid w:val="00C10340"/>
    <w:rsid w:val="00C109BE"/>
    <w:rsid w:val="00C11CD8"/>
    <w:rsid w:val="00C1356E"/>
    <w:rsid w:val="00C13DE9"/>
    <w:rsid w:val="00C14A2E"/>
    <w:rsid w:val="00C15DFD"/>
    <w:rsid w:val="00C16213"/>
    <w:rsid w:val="00C177AD"/>
    <w:rsid w:val="00C22540"/>
    <w:rsid w:val="00C23DAE"/>
    <w:rsid w:val="00C240FB"/>
    <w:rsid w:val="00C24885"/>
    <w:rsid w:val="00C2796D"/>
    <w:rsid w:val="00C304DF"/>
    <w:rsid w:val="00C3148E"/>
    <w:rsid w:val="00C335D2"/>
    <w:rsid w:val="00C35213"/>
    <w:rsid w:val="00C36045"/>
    <w:rsid w:val="00C37A8B"/>
    <w:rsid w:val="00C37F0A"/>
    <w:rsid w:val="00C47806"/>
    <w:rsid w:val="00C501D9"/>
    <w:rsid w:val="00C5721F"/>
    <w:rsid w:val="00C62C08"/>
    <w:rsid w:val="00C62DB4"/>
    <w:rsid w:val="00C63404"/>
    <w:rsid w:val="00C650DA"/>
    <w:rsid w:val="00C724EE"/>
    <w:rsid w:val="00C80ED9"/>
    <w:rsid w:val="00C80EFB"/>
    <w:rsid w:val="00C820B6"/>
    <w:rsid w:val="00C822BE"/>
    <w:rsid w:val="00C8327F"/>
    <w:rsid w:val="00C835B5"/>
    <w:rsid w:val="00C840E1"/>
    <w:rsid w:val="00C87999"/>
    <w:rsid w:val="00C87A61"/>
    <w:rsid w:val="00C92F81"/>
    <w:rsid w:val="00C94444"/>
    <w:rsid w:val="00C94AD4"/>
    <w:rsid w:val="00C94C38"/>
    <w:rsid w:val="00C951AA"/>
    <w:rsid w:val="00C958E0"/>
    <w:rsid w:val="00CB0358"/>
    <w:rsid w:val="00CB11B1"/>
    <w:rsid w:val="00CB27C9"/>
    <w:rsid w:val="00CB5768"/>
    <w:rsid w:val="00CB5AA9"/>
    <w:rsid w:val="00CC00FF"/>
    <w:rsid w:val="00CC15F4"/>
    <w:rsid w:val="00CC484F"/>
    <w:rsid w:val="00CD0046"/>
    <w:rsid w:val="00CD17A3"/>
    <w:rsid w:val="00CD6192"/>
    <w:rsid w:val="00CD6786"/>
    <w:rsid w:val="00CD6E56"/>
    <w:rsid w:val="00CD7AF4"/>
    <w:rsid w:val="00CE182D"/>
    <w:rsid w:val="00CE74BA"/>
    <w:rsid w:val="00CF084C"/>
    <w:rsid w:val="00CF2BF1"/>
    <w:rsid w:val="00D0124F"/>
    <w:rsid w:val="00D021CA"/>
    <w:rsid w:val="00D04418"/>
    <w:rsid w:val="00D062AC"/>
    <w:rsid w:val="00D06560"/>
    <w:rsid w:val="00D07727"/>
    <w:rsid w:val="00D12B13"/>
    <w:rsid w:val="00D1377B"/>
    <w:rsid w:val="00D14126"/>
    <w:rsid w:val="00D179A1"/>
    <w:rsid w:val="00D17A4B"/>
    <w:rsid w:val="00D21DF9"/>
    <w:rsid w:val="00D221F0"/>
    <w:rsid w:val="00D2391B"/>
    <w:rsid w:val="00D305AE"/>
    <w:rsid w:val="00D3070C"/>
    <w:rsid w:val="00D3536C"/>
    <w:rsid w:val="00D35604"/>
    <w:rsid w:val="00D35A2A"/>
    <w:rsid w:val="00D36656"/>
    <w:rsid w:val="00D37765"/>
    <w:rsid w:val="00D4286A"/>
    <w:rsid w:val="00D44EAA"/>
    <w:rsid w:val="00D50B65"/>
    <w:rsid w:val="00D51652"/>
    <w:rsid w:val="00D612F7"/>
    <w:rsid w:val="00D62154"/>
    <w:rsid w:val="00D631EB"/>
    <w:rsid w:val="00D71D3F"/>
    <w:rsid w:val="00D73FC0"/>
    <w:rsid w:val="00D74A55"/>
    <w:rsid w:val="00D76325"/>
    <w:rsid w:val="00D7706D"/>
    <w:rsid w:val="00D814DA"/>
    <w:rsid w:val="00D8179C"/>
    <w:rsid w:val="00D82356"/>
    <w:rsid w:val="00D9136F"/>
    <w:rsid w:val="00D96214"/>
    <w:rsid w:val="00D96822"/>
    <w:rsid w:val="00DA553A"/>
    <w:rsid w:val="00DB234B"/>
    <w:rsid w:val="00DB2FCB"/>
    <w:rsid w:val="00DB4930"/>
    <w:rsid w:val="00DB6926"/>
    <w:rsid w:val="00DC602E"/>
    <w:rsid w:val="00DC6261"/>
    <w:rsid w:val="00DC64B6"/>
    <w:rsid w:val="00DC72FB"/>
    <w:rsid w:val="00DC737C"/>
    <w:rsid w:val="00DC786E"/>
    <w:rsid w:val="00DD0758"/>
    <w:rsid w:val="00DD13D0"/>
    <w:rsid w:val="00DD1829"/>
    <w:rsid w:val="00DD2981"/>
    <w:rsid w:val="00DD2E2B"/>
    <w:rsid w:val="00DD58C2"/>
    <w:rsid w:val="00DD5D6B"/>
    <w:rsid w:val="00DD78E8"/>
    <w:rsid w:val="00DD7A3D"/>
    <w:rsid w:val="00DD7BB5"/>
    <w:rsid w:val="00DD7CAB"/>
    <w:rsid w:val="00DE3026"/>
    <w:rsid w:val="00DE3C5F"/>
    <w:rsid w:val="00DE5559"/>
    <w:rsid w:val="00DE6FA3"/>
    <w:rsid w:val="00DE7456"/>
    <w:rsid w:val="00DF0AB0"/>
    <w:rsid w:val="00DF32C3"/>
    <w:rsid w:val="00DF3ECC"/>
    <w:rsid w:val="00DF51C2"/>
    <w:rsid w:val="00DF593D"/>
    <w:rsid w:val="00DF6AD3"/>
    <w:rsid w:val="00DF6B76"/>
    <w:rsid w:val="00E00EFA"/>
    <w:rsid w:val="00E04FAC"/>
    <w:rsid w:val="00E0611F"/>
    <w:rsid w:val="00E0786D"/>
    <w:rsid w:val="00E112ED"/>
    <w:rsid w:val="00E1270C"/>
    <w:rsid w:val="00E13CD6"/>
    <w:rsid w:val="00E1447A"/>
    <w:rsid w:val="00E157D6"/>
    <w:rsid w:val="00E17CF7"/>
    <w:rsid w:val="00E26B01"/>
    <w:rsid w:val="00E27F6F"/>
    <w:rsid w:val="00E316C5"/>
    <w:rsid w:val="00E4337B"/>
    <w:rsid w:val="00E4394B"/>
    <w:rsid w:val="00E45B01"/>
    <w:rsid w:val="00E4630F"/>
    <w:rsid w:val="00E502E7"/>
    <w:rsid w:val="00E528E7"/>
    <w:rsid w:val="00E538A1"/>
    <w:rsid w:val="00E53DA2"/>
    <w:rsid w:val="00E542FB"/>
    <w:rsid w:val="00E63FE4"/>
    <w:rsid w:val="00E6483E"/>
    <w:rsid w:val="00E67316"/>
    <w:rsid w:val="00E6783A"/>
    <w:rsid w:val="00E714D8"/>
    <w:rsid w:val="00E73D6D"/>
    <w:rsid w:val="00E77C39"/>
    <w:rsid w:val="00E82DBB"/>
    <w:rsid w:val="00E83957"/>
    <w:rsid w:val="00E84244"/>
    <w:rsid w:val="00E84A3A"/>
    <w:rsid w:val="00E855CE"/>
    <w:rsid w:val="00E91803"/>
    <w:rsid w:val="00E9257F"/>
    <w:rsid w:val="00E92D43"/>
    <w:rsid w:val="00E93B2A"/>
    <w:rsid w:val="00E96E82"/>
    <w:rsid w:val="00E971A5"/>
    <w:rsid w:val="00E97F65"/>
    <w:rsid w:val="00EA03DC"/>
    <w:rsid w:val="00EA6C90"/>
    <w:rsid w:val="00EB5CBE"/>
    <w:rsid w:val="00EB718B"/>
    <w:rsid w:val="00EC1D7C"/>
    <w:rsid w:val="00EC3BD1"/>
    <w:rsid w:val="00EC5419"/>
    <w:rsid w:val="00ED055F"/>
    <w:rsid w:val="00ED1EE6"/>
    <w:rsid w:val="00ED361E"/>
    <w:rsid w:val="00ED43FB"/>
    <w:rsid w:val="00ED79D6"/>
    <w:rsid w:val="00EE1602"/>
    <w:rsid w:val="00EE40DC"/>
    <w:rsid w:val="00EE6784"/>
    <w:rsid w:val="00EE6AAC"/>
    <w:rsid w:val="00EE6D9F"/>
    <w:rsid w:val="00EE7157"/>
    <w:rsid w:val="00EF7B4A"/>
    <w:rsid w:val="00EF7E92"/>
    <w:rsid w:val="00F00442"/>
    <w:rsid w:val="00F0521A"/>
    <w:rsid w:val="00F05AC2"/>
    <w:rsid w:val="00F06738"/>
    <w:rsid w:val="00F10136"/>
    <w:rsid w:val="00F111EB"/>
    <w:rsid w:val="00F146B5"/>
    <w:rsid w:val="00F1510C"/>
    <w:rsid w:val="00F15A62"/>
    <w:rsid w:val="00F22518"/>
    <w:rsid w:val="00F23AF3"/>
    <w:rsid w:val="00F25D7F"/>
    <w:rsid w:val="00F276B2"/>
    <w:rsid w:val="00F348F3"/>
    <w:rsid w:val="00F4497C"/>
    <w:rsid w:val="00F45141"/>
    <w:rsid w:val="00F45CEC"/>
    <w:rsid w:val="00F46EA8"/>
    <w:rsid w:val="00F51D21"/>
    <w:rsid w:val="00F52738"/>
    <w:rsid w:val="00F52D2C"/>
    <w:rsid w:val="00F5405C"/>
    <w:rsid w:val="00F567F5"/>
    <w:rsid w:val="00F611F1"/>
    <w:rsid w:val="00F636C3"/>
    <w:rsid w:val="00F63830"/>
    <w:rsid w:val="00F64193"/>
    <w:rsid w:val="00F64C45"/>
    <w:rsid w:val="00F64F98"/>
    <w:rsid w:val="00F65568"/>
    <w:rsid w:val="00F7033D"/>
    <w:rsid w:val="00F707F0"/>
    <w:rsid w:val="00F72970"/>
    <w:rsid w:val="00F7440C"/>
    <w:rsid w:val="00F752F8"/>
    <w:rsid w:val="00F77473"/>
    <w:rsid w:val="00F80DDD"/>
    <w:rsid w:val="00F828B0"/>
    <w:rsid w:val="00F86FCB"/>
    <w:rsid w:val="00F91FC2"/>
    <w:rsid w:val="00F92825"/>
    <w:rsid w:val="00F92AEC"/>
    <w:rsid w:val="00FA0E0D"/>
    <w:rsid w:val="00FA1F98"/>
    <w:rsid w:val="00FA257D"/>
    <w:rsid w:val="00FA732A"/>
    <w:rsid w:val="00FB02B9"/>
    <w:rsid w:val="00FB512E"/>
    <w:rsid w:val="00FB68AB"/>
    <w:rsid w:val="00FB6A16"/>
    <w:rsid w:val="00FB7E48"/>
    <w:rsid w:val="00FC3FB0"/>
    <w:rsid w:val="00FC481C"/>
    <w:rsid w:val="00FC5888"/>
    <w:rsid w:val="00FD2A73"/>
    <w:rsid w:val="00FD51DA"/>
    <w:rsid w:val="00FD712F"/>
    <w:rsid w:val="00FD7167"/>
    <w:rsid w:val="00FE15D8"/>
    <w:rsid w:val="00FE27C1"/>
    <w:rsid w:val="00FE33EC"/>
    <w:rsid w:val="00FE3E2A"/>
    <w:rsid w:val="00FE5E4E"/>
    <w:rsid w:val="00FE5EB0"/>
    <w:rsid w:val="00FE7283"/>
    <w:rsid w:val="00FE798D"/>
    <w:rsid w:val="00FF065A"/>
    <w:rsid w:val="00FF437E"/>
    <w:rsid w:val="00FF53E7"/>
    <w:rsid w:val="00FF580E"/>
    <w:rsid w:val="00FF58CF"/>
    <w:rsid w:val="00FF7368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113C80-7850-44A0-9E3B-7EDE90AB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AA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C72FB"/>
    <w:pPr>
      <w:keepNext/>
      <w:keepLines/>
      <w:pBdr>
        <w:bottom w:val="single" w:sz="4" w:space="1" w:color="365F91" w:themeColor="accent1" w:themeShade="BF"/>
      </w:pBdr>
      <w:spacing w:before="480" w:after="0"/>
      <w:jc w:val="both"/>
      <w:outlineLvl w:val="0"/>
    </w:pPr>
    <w:rPr>
      <w:rFonts w:ascii="Times New Roman" w:eastAsiaTheme="majorEastAsia" w:hAnsi="Times New Roman" w:cstheme="majorBidi"/>
      <w:b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4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B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4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C879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E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4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067"/>
  </w:style>
  <w:style w:type="paragraph" w:styleId="Footer">
    <w:name w:val="footer"/>
    <w:basedOn w:val="Normal"/>
    <w:link w:val="FooterChar"/>
    <w:uiPriority w:val="99"/>
    <w:unhideWhenUsed/>
    <w:rsid w:val="00974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067"/>
  </w:style>
  <w:style w:type="table" w:styleId="TableGrid">
    <w:name w:val="Table Grid"/>
    <w:basedOn w:val="TableNormal"/>
    <w:uiPriority w:val="59"/>
    <w:rsid w:val="00E67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0C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A66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66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BB5"/>
    <w:pPr>
      <w:numPr>
        <w:ilvl w:val="1"/>
      </w:numPr>
    </w:pPr>
    <w:rPr>
      <w:rFonts w:ascii="Times New Roman" w:eastAsiaTheme="majorEastAsia" w:hAnsi="Times New Roman" w:cstheme="majorBidi"/>
      <w:b/>
      <w:i/>
      <w:iCs/>
      <w:spacing w:val="15"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DD7BB5"/>
    <w:rPr>
      <w:rFonts w:ascii="Times New Roman" w:eastAsiaTheme="majorEastAsia" w:hAnsi="Times New Roman" w:cstheme="majorBidi"/>
      <w:b/>
      <w:i/>
      <w:iCs/>
      <w:spacing w:val="15"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72FB"/>
    <w:rPr>
      <w:rFonts w:ascii="Times New Roman" w:eastAsiaTheme="majorEastAsia" w:hAnsi="Times New Roman" w:cstheme="majorBidi"/>
      <w:b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A042F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A042F"/>
    <w:pPr>
      <w:spacing w:after="100"/>
      <w:ind w:left="220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67BCA"/>
    <w:pPr>
      <w:tabs>
        <w:tab w:val="right" w:leader="dot" w:pos="9062"/>
      </w:tabs>
      <w:spacing w:after="100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7A042F"/>
    <w:pPr>
      <w:spacing w:after="100"/>
      <w:ind w:left="440"/>
    </w:pPr>
    <w:rPr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7A042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7A042F"/>
    <w:pPr>
      <w:spacing w:after="100"/>
      <w:ind w:left="880"/>
    </w:pPr>
  </w:style>
  <w:style w:type="character" w:styleId="Hyperlink">
    <w:name w:val="Hyperlink"/>
    <w:basedOn w:val="DefaultParagraphFont"/>
    <w:uiPriority w:val="99"/>
    <w:unhideWhenUsed/>
    <w:rsid w:val="007A042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A0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BB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A69EF"/>
    <w:pPr>
      <w:spacing w:after="100"/>
      <w:ind w:left="1320"/>
    </w:pPr>
  </w:style>
  <w:style w:type="paragraph" w:customStyle="1" w:styleId="Grafovi">
    <w:name w:val="Grafovi"/>
    <w:basedOn w:val="Normal"/>
    <w:link w:val="GrafoviChar"/>
    <w:qFormat/>
    <w:rsid w:val="00432058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ele">
    <w:name w:val="Tabele"/>
    <w:basedOn w:val="Normal"/>
    <w:link w:val="TabeleChar"/>
    <w:qFormat/>
    <w:rsid w:val="00432058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GrafoviChar">
    <w:name w:val="Grafovi Char"/>
    <w:basedOn w:val="DefaultParagraphFont"/>
    <w:link w:val="Grafovi"/>
    <w:rsid w:val="00432058"/>
    <w:rPr>
      <w:rFonts w:ascii="Times New Roman" w:hAnsi="Times New Roman" w:cs="Times New Roman"/>
      <w:sz w:val="24"/>
      <w:szCs w:val="24"/>
    </w:rPr>
  </w:style>
  <w:style w:type="character" w:customStyle="1" w:styleId="TabeleChar">
    <w:name w:val="Tabele Char"/>
    <w:basedOn w:val="DefaultParagraphFont"/>
    <w:link w:val="Tabele"/>
    <w:rsid w:val="0043205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60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0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0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0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75D56-BF0A-40AA-A378-4B9A54D67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2783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Sarajevo, april</Company>
  <LinksUpToDate>false</LinksUpToDate>
  <CharactersWithSpaces>18615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Mirsad Sirbubalo</dc:creator>
  <cp:keywords/>
  <dc:description/>
  <cp:lastModifiedBy>Mirsad Sirbubalo</cp:lastModifiedBy>
  <cp:revision>5</cp:revision>
  <cp:lastPrinted>2016-06-14T07:53:00Z</cp:lastPrinted>
  <dcterms:created xsi:type="dcterms:W3CDTF">2016-06-14T06:26:00Z</dcterms:created>
  <dcterms:modified xsi:type="dcterms:W3CDTF">2016-06-14T08:09:00Z</dcterms:modified>
</cp:coreProperties>
</file>