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96DA5" w14:textId="77777777" w:rsidR="0036352B" w:rsidRDefault="0036352B" w:rsidP="003C189C">
      <w:pPr>
        <w:jc w:val="both"/>
        <w:rPr>
          <w:bCs/>
        </w:rPr>
      </w:pPr>
    </w:p>
    <w:p w14:paraId="306652CE" w14:textId="77777777" w:rsidR="0036352B" w:rsidRDefault="0036352B" w:rsidP="003C189C">
      <w:pPr>
        <w:jc w:val="both"/>
        <w:rPr>
          <w:bCs/>
        </w:rPr>
      </w:pPr>
    </w:p>
    <w:p w14:paraId="30E290E4" w14:textId="77777777" w:rsidR="0036352B" w:rsidRDefault="0036352B" w:rsidP="003C189C">
      <w:pPr>
        <w:jc w:val="both"/>
        <w:rPr>
          <w:bCs/>
        </w:rPr>
      </w:pPr>
    </w:p>
    <w:p w14:paraId="0A036CF2" w14:textId="77777777" w:rsidR="0036352B" w:rsidRDefault="0036352B" w:rsidP="003C189C">
      <w:pPr>
        <w:jc w:val="both"/>
        <w:rPr>
          <w:bCs/>
        </w:rPr>
      </w:pPr>
    </w:p>
    <w:p w14:paraId="393D4684" w14:textId="77777777" w:rsidR="0036352B" w:rsidRDefault="0036352B" w:rsidP="003C189C">
      <w:pPr>
        <w:jc w:val="both"/>
        <w:rPr>
          <w:bCs/>
        </w:rPr>
      </w:pPr>
    </w:p>
    <w:p w14:paraId="35767344" w14:textId="77777777" w:rsidR="0036352B" w:rsidRDefault="0036352B" w:rsidP="003C189C">
      <w:pPr>
        <w:jc w:val="both"/>
        <w:rPr>
          <w:bCs/>
        </w:rPr>
      </w:pPr>
    </w:p>
    <w:p w14:paraId="79DF6A13" w14:textId="77777777" w:rsidR="0036352B" w:rsidRDefault="0036352B" w:rsidP="003C189C">
      <w:pPr>
        <w:jc w:val="both"/>
        <w:rPr>
          <w:bCs/>
        </w:rPr>
      </w:pPr>
    </w:p>
    <w:p w14:paraId="024D45A1" w14:textId="77777777" w:rsidR="0036352B" w:rsidRDefault="0036352B" w:rsidP="003C189C">
      <w:pPr>
        <w:jc w:val="both"/>
        <w:rPr>
          <w:bCs/>
        </w:rPr>
      </w:pPr>
    </w:p>
    <w:p w14:paraId="4632B5E0" w14:textId="77777777" w:rsidR="0036352B" w:rsidRDefault="0036352B" w:rsidP="003C189C">
      <w:pPr>
        <w:jc w:val="both"/>
        <w:rPr>
          <w:bCs/>
        </w:rPr>
      </w:pPr>
    </w:p>
    <w:p w14:paraId="79617356" w14:textId="77777777" w:rsidR="0036352B" w:rsidRDefault="0036352B" w:rsidP="003C189C">
      <w:pPr>
        <w:jc w:val="both"/>
        <w:rPr>
          <w:bCs/>
        </w:rPr>
      </w:pPr>
    </w:p>
    <w:p w14:paraId="40D8D65D" w14:textId="77777777" w:rsidR="00482B64" w:rsidRDefault="00482B64" w:rsidP="003C189C">
      <w:pPr>
        <w:jc w:val="both"/>
        <w:rPr>
          <w:bCs/>
        </w:rPr>
      </w:pPr>
    </w:p>
    <w:p w14:paraId="331A289A" w14:textId="77777777" w:rsidR="00482B64" w:rsidRDefault="00482B64" w:rsidP="003C189C">
      <w:pPr>
        <w:jc w:val="both"/>
        <w:rPr>
          <w:bCs/>
        </w:rPr>
      </w:pPr>
    </w:p>
    <w:p w14:paraId="152AF6DF" w14:textId="77777777" w:rsidR="00482B64" w:rsidRDefault="00482B64" w:rsidP="003C189C">
      <w:pPr>
        <w:jc w:val="both"/>
        <w:rPr>
          <w:bCs/>
        </w:rPr>
      </w:pPr>
    </w:p>
    <w:p w14:paraId="374B2F71" w14:textId="77777777" w:rsidR="00482B64" w:rsidRDefault="00482B64" w:rsidP="003C189C">
      <w:pPr>
        <w:jc w:val="both"/>
        <w:rPr>
          <w:bCs/>
        </w:rPr>
      </w:pPr>
    </w:p>
    <w:p w14:paraId="045CAD03" w14:textId="576CF716" w:rsidR="0036352B" w:rsidRPr="00482B64" w:rsidRDefault="00482B64" w:rsidP="00482B64">
      <w:pPr>
        <w:pStyle w:val="Title"/>
        <w:jc w:val="center"/>
        <w:rPr>
          <w:sz w:val="52"/>
          <w:szCs w:val="52"/>
          <w:lang w:val="bs-Latn-BA"/>
        </w:rPr>
      </w:pPr>
      <w:r w:rsidRPr="00482B64">
        <w:rPr>
          <w:sz w:val="52"/>
          <w:szCs w:val="52"/>
          <w:lang w:val="bs-Latn-BA"/>
        </w:rPr>
        <w:t>Vrijednosni razredi i procijenjena vrijednost javne nabav</w:t>
      </w:r>
      <w:r>
        <w:rPr>
          <w:sz w:val="52"/>
          <w:szCs w:val="52"/>
          <w:lang w:val="bs-Latn-BA"/>
        </w:rPr>
        <w:t>ke sa primjerima iz prakse</w:t>
      </w:r>
    </w:p>
    <w:p w14:paraId="7265F2C0" w14:textId="77777777" w:rsidR="0036352B" w:rsidRPr="00482B64" w:rsidRDefault="0036352B" w:rsidP="0036352B"/>
    <w:p w14:paraId="4C1EA576" w14:textId="77777777" w:rsidR="0036352B" w:rsidRPr="00482B64" w:rsidRDefault="0036352B" w:rsidP="0036352B"/>
    <w:p w14:paraId="4EBE877E" w14:textId="77777777" w:rsidR="0036352B" w:rsidRPr="00482B64" w:rsidRDefault="0036352B" w:rsidP="0036352B"/>
    <w:p w14:paraId="7E60CEA0" w14:textId="77777777" w:rsidR="0036352B" w:rsidRPr="00482B64" w:rsidRDefault="0036352B" w:rsidP="0036352B"/>
    <w:p w14:paraId="62E3D8DE" w14:textId="77777777" w:rsidR="0036352B" w:rsidRPr="00482B64" w:rsidRDefault="0036352B" w:rsidP="0036352B"/>
    <w:p w14:paraId="5A03A985" w14:textId="77777777" w:rsidR="0036352B" w:rsidRPr="00482B64" w:rsidRDefault="0036352B" w:rsidP="0036352B"/>
    <w:p w14:paraId="234B41D4" w14:textId="77777777" w:rsidR="0036352B" w:rsidRPr="00482B64" w:rsidRDefault="0036352B" w:rsidP="0036352B"/>
    <w:p w14:paraId="54B35FCF" w14:textId="77777777" w:rsidR="0036352B" w:rsidRPr="00482B64" w:rsidRDefault="0036352B" w:rsidP="0036352B"/>
    <w:p w14:paraId="4E1C13C4" w14:textId="77777777" w:rsidR="0036352B" w:rsidRPr="00482B64" w:rsidRDefault="0036352B" w:rsidP="0036352B"/>
    <w:p w14:paraId="7B710629" w14:textId="77777777" w:rsidR="0036352B" w:rsidRPr="00482B64" w:rsidRDefault="0036352B" w:rsidP="0036352B"/>
    <w:p w14:paraId="1E0DEAA9" w14:textId="77777777" w:rsidR="0036352B" w:rsidRPr="00482B64" w:rsidRDefault="0036352B" w:rsidP="0036352B"/>
    <w:p w14:paraId="1126C979" w14:textId="77777777" w:rsidR="0036352B" w:rsidRPr="00482B64" w:rsidRDefault="0036352B" w:rsidP="0036352B"/>
    <w:p w14:paraId="0FE243EB" w14:textId="77777777" w:rsidR="0036352B" w:rsidRDefault="0036352B" w:rsidP="0036352B"/>
    <w:p w14:paraId="37D84160" w14:textId="77777777" w:rsidR="00482B64" w:rsidRDefault="00482B64" w:rsidP="0036352B"/>
    <w:p w14:paraId="7EBD1326" w14:textId="77777777" w:rsidR="00482B64" w:rsidRPr="00482B64" w:rsidRDefault="00482B64" w:rsidP="0036352B"/>
    <w:p w14:paraId="4AE00E3F" w14:textId="77777777" w:rsidR="0036352B" w:rsidRPr="00482B64" w:rsidRDefault="0036352B" w:rsidP="0036352B"/>
    <w:p w14:paraId="108F678C" w14:textId="77777777" w:rsidR="0036352B" w:rsidRPr="005736B4" w:rsidRDefault="0036352B" w:rsidP="0036352B">
      <w:pPr>
        <w:jc w:val="right"/>
        <w:rPr>
          <w:lang w:val="pt-BR"/>
        </w:rPr>
      </w:pPr>
      <w:r w:rsidRPr="005736B4">
        <w:rPr>
          <w:lang w:val="pt-BR"/>
        </w:rPr>
        <w:t>Autor:</w:t>
      </w:r>
    </w:p>
    <w:p w14:paraId="68842579" w14:textId="35EA06AB" w:rsidR="0036352B" w:rsidRDefault="00482B64" w:rsidP="0036352B">
      <w:pPr>
        <w:spacing w:line="252" w:lineRule="auto"/>
        <w:jc w:val="right"/>
        <w:rPr>
          <w:b/>
          <w:bCs/>
          <w14:ligatures w14:val="standardContextual"/>
        </w:rPr>
      </w:pPr>
      <w:r>
        <w:rPr>
          <w:b/>
          <w:bCs/>
          <w14:ligatures w14:val="standardContextual"/>
        </w:rPr>
        <w:t>Lejla Džozlić-Čusto</w:t>
      </w:r>
    </w:p>
    <w:p w14:paraId="789814C4" w14:textId="77777777" w:rsidR="00A97226" w:rsidRPr="00A97226" w:rsidRDefault="00A97226" w:rsidP="00A97226">
      <w:pPr>
        <w:jc w:val="right"/>
        <w:rPr>
          <w:rFonts w:ascii="Aptos" w:hAnsi="Aptos"/>
          <w:sz w:val="20"/>
          <w:szCs w:val="20"/>
          <w14:ligatures w14:val="standardContextual"/>
        </w:rPr>
      </w:pPr>
      <w:r w:rsidRPr="00A97226">
        <w:rPr>
          <w:rFonts w:ascii="Aptos" w:hAnsi="Aptos"/>
          <w:sz w:val="20"/>
          <w:szCs w:val="20"/>
          <w14:ligatures w14:val="standardContextual"/>
        </w:rPr>
        <w:t xml:space="preserve">Šef Grupe za poslove obuke i analize </w:t>
      </w:r>
    </w:p>
    <w:p w14:paraId="7D61AEA4" w14:textId="77777777" w:rsidR="00A97226" w:rsidRPr="00A97226" w:rsidRDefault="00A97226" w:rsidP="00A97226">
      <w:pPr>
        <w:jc w:val="right"/>
        <w:rPr>
          <w:rFonts w:ascii="Aptos" w:hAnsi="Aptos"/>
          <w:sz w:val="20"/>
          <w:szCs w:val="20"/>
          <w:lang w:val="en-US"/>
          <w14:ligatures w14:val="standardContextual"/>
        </w:rPr>
      </w:pPr>
      <w:r w:rsidRPr="00A97226">
        <w:rPr>
          <w:rFonts w:ascii="Aptos" w:hAnsi="Aptos"/>
          <w:sz w:val="20"/>
          <w:szCs w:val="20"/>
          <w14:ligatures w14:val="standardContextual"/>
        </w:rPr>
        <w:t>Head of Department for Trainings and Analysis</w:t>
      </w:r>
    </w:p>
    <w:p w14:paraId="14B9AB22" w14:textId="77777777" w:rsidR="0036352B" w:rsidRPr="00A97226" w:rsidRDefault="0036352B" w:rsidP="0036352B">
      <w:pPr>
        <w:jc w:val="right"/>
        <w:rPr>
          <w:lang w:val="en-US"/>
        </w:rPr>
      </w:pPr>
    </w:p>
    <w:p w14:paraId="31E6E1B0" w14:textId="4927EE91" w:rsidR="0036352B" w:rsidRDefault="0036352B" w:rsidP="0036352B">
      <w:pPr>
        <w:jc w:val="center"/>
      </w:pPr>
      <w:r>
        <w:t>Jun</w:t>
      </w:r>
      <w:r w:rsidR="00482B64">
        <w:t>i</w:t>
      </w:r>
      <w:r>
        <w:t>/2024</w:t>
      </w:r>
    </w:p>
    <w:p w14:paraId="54149BD4" w14:textId="77777777" w:rsidR="0036352B" w:rsidRDefault="0036352B" w:rsidP="003C189C">
      <w:pPr>
        <w:jc w:val="both"/>
        <w:rPr>
          <w:bCs/>
        </w:rPr>
      </w:pPr>
    </w:p>
    <w:sdt>
      <w:sdtPr>
        <w:rPr>
          <w:rFonts w:ascii="Times New Roman" w:eastAsia="Times New Roman" w:hAnsi="Times New Roman" w:cs="Times New Roman"/>
          <w:color w:val="auto"/>
          <w:sz w:val="24"/>
          <w:szCs w:val="24"/>
          <w:lang w:val="bs-Latn-BA"/>
        </w:rPr>
        <w:id w:val="-508596749"/>
        <w:docPartObj>
          <w:docPartGallery w:val="Table of Contents"/>
          <w:docPartUnique/>
        </w:docPartObj>
      </w:sdtPr>
      <w:sdtEndPr>
        <w:rPr>
          <w:b/>
          <w:bCs/>
          <w:noProof/>
        </w:rPr>
      </w:sdtEndPr>
      <w:sdtContent>
        <w:p w14:paraId="42E9FA01" w14:textId="411D9BBF" w:rsidR="009A2392" w:rsidRDefault="009A2392">
          <w:pPr>
            <w:pStyle w:val="TOCHeading"/>
          </w:pPr>
          <w:r>
            <w:t>Sadržaj</w:t>
          </w:r>
        </w:p>
        <w:p w14:paraId="4373979A" w14:textId="77777777" w:rsidR="009A2392" w:rsidRPr="009A2392" w:rsidRDefault="009A2392" w:rsidP="009A2392">
          <w:pPr>
            <w:rPr>
              <w:lang w:val="en-US"/>
            </w:rPr>
          </w:pPr>
        </w:p>
        <w:p w14:paraId="3CAA4C8F" w14:textId="590A303D" w:rsidR="00FC2F12" w:rsidRDefault="009A2392">
          <w:pPr>
            <w:pStyle w:val="TOC1"/>
            <w:tabs>
              <w:tab w:val="right" w:leader="dot" w:pos="9060"/>
            </w:tabs>
            <w:rPr>
              <w:rFonts w:asciiTheme="minorHAnsi" w:eastAsiaTheme="minorEastAsia" w:hAnsiTheme="minorHAnsi" w:cstheme="minorBidi"/>
              <w:noProof/>
              <w:kern w:val="2"/>
              <w:lang w:val="en-US"/>
              <w14:ligatures w14:val="standardContextual"/>
            </w:rPr>
          </w:pPr>
          <w:r>
            <w:fldChar w:fldCharType="begin"/>
          </w:r>
          <w:r>
            <w:instrText xml:space="preserve"> TOC \o "1-3" \h \z \u </w:instrText>
          </w:r>
          <w:r>
            <w:fldChar w:fldCharType="separate"/>
          </w:r>
          <w:hyperlink w:anchor="_Toc168432479" w:history="1">
            <w:r w:rsidR="00FC2F12" w:rsidRPr="003C4316">
              <w:rPr>
                <w:rStyle w:val="Hyperlink"/>
                <w:noProof/>
              </w:rPr>
              <w:t>Uvod</w:t>
            </w:r>
            <w:r w:rsidR="00FC2F12">
              <w:rPr>
                <w:noProof/>
                <w:webHidden/>
              </w:rPr>
              <w:tab/>
            </w:r>
            <w:r w:rsidR="00FC2F12">
              <w:rPr>
                <w:noProof/>
                <w:webHidden/>
              </w:rPr>
              <w:fldChar w:fldCharType="begin"/>
            </w:r>
            <w:r w:rsidR="00FC2F12">
              <w:rPr>
                <w:noProof/>
                <w:webHidden/>
              </w:rPr>
              <w:instrText xml:space="preserve"> PAGEREF _Toc168432479 \h </w:instrText>
            </w:r>
            <w:r w:rsidR="00FC2F12">
              <w:rPr>
                <w:noProof/>
                <w:webHidden/>
              </w:rPr>
            </w:r>
            <w:r w:rsidR="00FC2F12">
              <w:rPr>
                <w:noProof/>
                <w:webHidden/>
              </w:rPr>
              <w:fldChar w:fldCharType="separate"/>
            </w:r>
            <w:r w:rsidR="009E0DA0">
              <w:rPr>
                <w:noProof/>
                <w:webHidden/>
              </w:rPr>
              <w:t>3</w:t>
            </w:r>
            <w:r w:rsidR="00FC2F12">
              <w:rPr>
                <w:noProof/>
                <w:webHidden/>
              </w:rPr>
              <w:fldChar w:fldCharType="end"/>
            </w:r>
          </w:hyperlink>
        </w:p>
        <w:p w14:paraId="6C47ED60" w14:textId="5F167B64"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0" w:history="1">
            <w:r w:rsidRPr="003C4316">
              <w:rPr>
                <w:rStyle w:val="Hyperlink"/>
                <w:noProof/>
              </w:rPr>
              <w:t>Vrijednosni razredi</w:t>
            </w:r>
            <w:r>
              <w:rPr>
                <w:noProof/>
                <w:webHidden/>
              </w:rPr>
              <w:tab/>
            </w:r>
            <w:r>
              <w:rPr>
                <w:noProof/>
                <w:webHidden/>
              </w:rPr>
              <w:fldChar w:fldCharType="begin"/>
            </w:r>
            <w:r>
              <w:rPr>
                <w:noProof/>
                <w:webHidden/>
              </w:rPr>
              <w:instrText xml:space="preserve"> PAGEREF _Toc168432480 \h </w:instrText>
            </w:r>
            <w:r>
              <w:rPr>
                <w:noProof/>
                <w:webHidden/>
              </w:rPr>
            </w:r>
            <w:r>
              <w:rPr>
                <w:noProof/>
                <w:webHidden/>
              </w:rPr>
              <w:fldChar w:fldCharType="separate"/>
            </w:r>
            <w:r w:rsidR="009E0DA0">
              <w:rPr>
                <w:noProof/>
                <w:webHidden/>
              </w:rPr>
              <w:t>3</w:t>
            </w:r>
            <w:r>
              <w:rPr>
                <w:noProof/>
                <w:webHidden/>
              </w:rPr>
              <w:fldChar w:fldCharType="end"/>
            </w:r>
          </w:hyperlink>
        </w:p>
        <w:p w14:paraId="1E6A7D81" w14:textId="1DA5C612"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1" w:history="1">
            <w:r w:rsidRPr="003C4316">
              <w:rPr>
                <w:rStyle w:val="Hyperlink"/>
                <w:noProof/>
              </w:rPr>
              <w:t>Istraživanje tržišta</w:t>
            </w:r>
            <w:r>
              <w:rPr>
                <w:noProof/>
                <w:webHidden/>
              </w:rPr>
              <w:tab/>
            </w:r>
            <w:r>
              <w:rPr>
                <w:noProof/>
                <w:webHidden/>
              </w:rPr>
              <w:fldChar w:fldCharType="begin"/>
            </w:r>
            <w:r>
              <w:rPr>
                <w:noProof/>
                <w:webHidden/>
              </w:rPr>
              <w:instrText xml:space="preserve"> PAGEREF _Toc168432481 \h </w:instrText>
            </w:r>
            <w:r>
              <w:rPr>
                <w:noProof/>
                <w:webHidden/>
              </w:rPr>
            </w:r>
            <w:r>
              <w:rPr>
                <w:noProof/>
                <w:webHidden/>
              </w:rPr>
              <w:fldChar w:fldCharType="separate"/>
            </w:r>
            <w:r w:rsidR="009E0DA0">
              <w:rPr>
                <w:noProof/>
                <w:webHidden/>
              </w:rPr>
              <w:t>6</w:t>
            </w:r>
            <w:r>
              <w:rPr>
                <w:noProof/>
                <w:webHidden/>
              </w:rPr>
              <w:fldChar w:fldCharType="end"/>
            </w:r>
          </w:hyperlink>
        </w:p>
        <w:p w14:paraId="765D7AA1" w14:textId="1E1CE3BF"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2" w:history="1">
            <w:r w:rsidRPr="003C4316">
              <w:rPr>
                <w:rStyle w:val="Hyperlink"/>
                <w:noProof/>
              </w:rPr>
              <w:t>Ugovorni organ</w:t>
            </w:r>
            <w:r>
              <w:rPr>
                <w:noProof/>
                <w:webHidden/>
              </w:rPr>
              <w:tab/>
            </w:r>
            <w:r>
              <w:rPr>
                <w:noProof/>
                <w:webHidden/>
              </w:rPr>
              <w:fldChar w:fldCharType="begin"/>
            </w:r>
            <w:r>
              <w:rPr>
                <w:noProof/>
                <w:webHidden/>
              </w:rPr>
              <w:instrText xml:space="preserve"> PAGEREF _Toc168432482 \h </w:instrText>
            </w:r>
            <w:r>
              <w:rPr>
                <w:noProof/>
                <w:webHidden/>
              </w:rPr>
            </w:r>
            <w:r>
              <w:rPr>
                <w:noProof/>
                <w:webHidden/>
              </w:rPr>
              <w:fldChar w:fldCharType="separate"/>
            </w:r>
            <w:r w:rsidR="009E0DA0">
              <w:rPr>
                <w:noProof/>
                <w:webHidden/>
              </w:rPr>
              <w:t>9</w:t>
            </w:r>
            <w:r>
              <w:rPr>
                <w:noProof/>
                <w:webHidden/>
              </w:rPr>
              <w:fldChar w:fldCharType="end"/>
            </w:r>
          </w:hyperlink>
        </w:p>
        <w:p w14:paraId="7B36583D" w14:textId="73BB5143"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3" w:history="1">
            <w:r w:rsidRPr="003C4316">
              <w:rPr>
                <w:rStyle w:val="Hyperlink"/>
                <w:noProof/>
              </w:rPr>
              <w:t>Vrsta postupka javne nabavke</w:t>
            </w:r>
            <w:r>
              <w:rPr>
                <w:noProof/>
                <w:webHidden/>
              </w:rPr>
              <w:tab/>
            </w:r>
            <w:r>
              <w:rPr>
                <w:noProof/>
                <w:webHidden/>
              </w:rPr>
              <w:fldChar w:fldCharType="begin"/>
            </w:r>
            <w:r>
              <w:rPr>
                <w:noProof/>
                <w:webHidden/>
              </w:rPr>
              <w:instrText xml:space="preserve"> PAGEREF _Toc168432483 \h </w:instrText>
            </w:r>
            <w:r>
              <w:rPr>
                <w:noProof/>
                <w:webHidden/>
              </w:rPr>
            </w:r>
            <w:r>
              <w:rPr>
                <w:noProof/>
                <w:webHidden/>
              </w:rPr>
              <w:fldChar w:fldCharType="separate"/>
            </w:r>
            <w:r w:rsidR="009E0DA0">
              <w:rPr>
                <w:noProof/>
                <w:webHidden/>
              </w:rPr>
              <w:t>13</w:t>
            </w:r>
            <w:r>
              <w:rPr>
                <w:noProof/>
                <w:webHidden/>
              </w:rPr>
              <w:fldChar w:fldCharType="end"/>
            </w:r>
          </w:hyperlink>
        </w:p>
        <w:p w14:paraId="6EE40FC6" w14:textId="72104CF4"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4" w:history="1">
            <w:r w:rsidRPr="003C4316">
              <w:rPr>
                <w:rStyle w:val="Hyperlink"/>
                <w:noProof/>
              </w:rPr>
              <w:t>Procijenjena vrijednost javne nabavke</w:t>
            </w:r>
            <w:r>
              <w:rPr>
                <w:noProof/>
                <w:webHidden/>
              </w:rPr>
              <w:tab/>
            </w:r>
            <w:r>
              <w:rPr>
                <w:noProof/>
                <w:webHidden/>
              </w:rPr>
              <w:fldChar w:fldCharType="begin"/>
            </w:r>
            <w:r>
              <w:rPr>
                <w:noProof/>
                <w:webHidden/>
              </w:rPr>
              <w:instrText xml:space="preserve"> PAGEREF _Toc168432484 \h </w:instrText>
            </w:r>
            <w:r>
              <w:rPr>
                <w:noProof/>
                <w:webHidden/>
              </w:rPr>
            </w:r>
            <w:r>
              <w:rPr>
                <w:noProof/>
                <w:webHidden/>
              </w:rPr>
              <w:fldChar w:fldCharType="separate"/>
            </w:r>
            <w:r w:rsidR="009E0DA0">
              <w:rPr>
                <w:noProof/>
                <w:webHidden/>
              </w:rPr>
              <w:t>15</w:t>
            </w:r>
            <w:r>
              <w:rPr>
                <w:noProof/>
                <w:webHidden/>
              </w:rPr>
              <w:fldChar w:fldCharType="end"/>
            </w:r>
          </w:hyperlink>
        </w:p>
        <w:p w14:paraId="3E3E0342" w14:textId="1F798E9E"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5" w:history="1">
            <w:r w:rsidRPr="003C4316">
              <w:rPr>
                <w:rStyle w:val="Hyperlink"/>
                <w:noProof/>
              </w:rPr>
              <w:t>Prekršajne odredbe član 116. Zakona</w:t>
            </w:r>
            <w:r>
              <w:rPr>
                <w:noProof/>
                <w:webHidden/>
              </w:rPr>
              <w:tab/>
            </w:r>
            <w:r>
              <w:rPr>
                <w:noProof/>
                <w:webHidden/>
              </w:rPr>
              <w:fldChar w:fldCharType="begin"/>
            </w:r>
            <w:r>
              <w:rPr>
                <w:noProof/>
                <w:webHidden/>
              </w:rPr>
              <w:instrText xml:space="preserve"> PAGEREF _Toc168432485 \h </w:instrText>
            </w:r>
            <w:r>
              <w:rPr>
                <w:noProof/>
                <w:webHidden/>
              </w:rPr>
            </w:r>
            <w:r>
              <w:rPr>
                <w:noProof/>
                <w:webHidden/>
              </w:rPr>
              <w:fldChar w:fldCharType="separate"/>
            </w:r>
            <w:r w:rsidR="009E0DA0">
              <w:rPr>
                <w:noProof/>
                <w:webHidden/>
              </w:rPr>
              <w:t>18</w:t>
            </w:r>
            <w:r>
              <w:rPr>
                <w:noProof/>
                <w:webHidden/>
              </w:rPr>
              <w:fldChar w:fldCharType="end"/>
            </w:r>
          </w:hyperlink>
        </w:p>
        <w:p w14:paraId="6C0FDD35" w14:textId="4835CFA5"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6" w:history="1">
            <w:r w:rsidRPr="003C4316">
              <w:rPr>
                <w:rStyle w:val="Hyperlink"/>
                <w:noProof/>
              </w:rPr>
              <w:t>Analiza,</w:t>
            </w:r>
            <w:r>
              <w:rPr>
                <w:noProof/>
                <w:webHidden/>
              </w:rPr>
              <w:tab/>
            </w:r>
            <w:r>
              <w:rPr>
                <w:noProof/>
                <w:webHidden/>
              </w:rPr>
              <w:fldChar w:fldCharType="begin"/>
            </w:r>
            <w:r>
              <w:rPr>
                <w:noProof/>
                <w:webHidden/>
              </w:rPr>
              <w:instrText xml:space="preserve"> PAGEREF _Toc168432486 \h </w:instrText>
            </w:r>
            <w:r>
              <w:rPr>
                <w:noProof/>
                <w:webHidden/>
              </w:rPr>
            </w:r>
            <w:r>
              <w:rPr>
                <w:noProof/>
                <w:webHidden/>
              </w:rPr>
              <w:fldChar w:fldCharType="separate"/>
            </w:r>
            <w:r w:rsidR="009E0DA0">
              <w:rPr>
                <w:noProof/>
                <w:webHidden/>
              </w:rPr>
              <w:t>20</w:t>
            </w:r>
            <w:r>
              <w:rPr>
                <w:noProof/>
                <w:webHidden/>
              </w:rPr>
              <w:fldChar w:fldCharType="end"/>
            </w:r>
          </w:hyperlink>
        </w:p>
        <w:p w14:paraId="37A6191D" w14:textId="6870BB6E"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7" w:history="1">
            <w:r w:rsidRPr="003C4316">
              <w:rPr>
                <w:rStyle w:val="Hyperlink"/>
                <w:noProof/>
              </w:rPr>
              <w:t>Godišnji izvještaj o zaključenim ugovorima u postupcima javnih nabavki</w:t>
            </w:r>
            <w:r>
              <w:rPr>
                <w:noProof/>
                <w:webHidden/>
              </w:rPr>
              <w:tab/>
            </w:r>
            <w:r>
              <w:rPr>
                <w:noProof/>
                <w:webHidden/>
              </w:rPr>
              <w:fldChar w:fldCharType="begin"/>
            </w:r>
            <w:r>
              <w:rPr>
                <w:noProof/>
                <w:webHidden/>
              </w:rPr>
              <w:instrText xml:space="preserve"> PAGEREF _Toc168432487 \h </w:instrText>
            </w:r>
            <w:r>
              <w:rPr>
                <w:noProof/>
                <w:webHidden/>
              </w:rPr>
            </w:r>
            <w:r>
              <w:rPr>
                <w:noProof/>
                <w:webHidden/>
              </w:rPr>
              <w:fldChar w:fldCharType="separate"/>
            </w:r>
            <w:r w:rsidR="009E0DA0">
              <w:rPr>
                <w:noProof/>
                <w:webHidden/>
              </w:rPr>
              <w:t>20</w:t>
            </w:r>
            <w:r>
              <w:rPr>
                <w:noProof/>
                <w:webHidden/>
              </w:rPr>
              <w:fldChar w:fldCharType="end"/>
            </w:r>
          </w:hyperlink>
        </w:p>
        <w:p w14:paraId="7A1E45DF" w14:textId="1244D8A5"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8" w:history="1">
            <w:r w:rsidRPr="003C4316">
              <w:rPr>
                <w:rStyle w:val="Hyperlink"/>
                <w:noProof/>
              </w:rPr>
              <w:t>Zanimljivi  podaci o javnim nabavkama</w:t>
            </w:r>
            <w:r>
              <w:rPr>
                <w:noProof/>
                <w:webHidden/>
              </w:rPr>
              <w:tab/>
            </w:r>
            <w:r>
              <w:rPr>
                <w:noProof/>
                <w:webHidden/>
              </w:rPr>
              <w:fldChar w:fldCharType="begin"/>
            </w:r>
            <w:r>
              <w:rPr>
                <w:noProof/>
                <w:webHidden/>
              </w:rPr>
              <w:instrText xml:space="preserve"> PAGEREF _Toc168432488 \h </w:instrText>
            </w:r>
            <w:r>
              <w:rPr>
                <w:noProof/>
                <w:webHidden/>
              </w:rPr>
            </w:r>
            <w:r>
              <w:rPr>
                <w:noProof/>
                <w:webHidden/>
              </w:rPr>
              <w:fldChar w:fldCharType="separate"/>
            </w:r>
            <w:r w:rsidR="009E0DA0">
              <w:rPr>
                <w:noProof/>
                <w:webHidden/>
              </w:rPr>
              <w:t>23</w:t>
            </w:r>
            <w:r>
              <w:rPr>
                <w:noProof/>
                <w:webHidden/>
              </w:rPr>
              <w:fldChar w:fldCharType="end"/>
            </w:r>
          </w:hyperlink>
        </w:p>
        <w:p w14:paraId="766B8221" w14:textId="58779668"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89" w:history="1">
            <w:r w:rsidRPr="003C4316">
              <w:rPr>
                <w:rStyle w:val="Hyperlink"/>
                <w:noProof/>
              </w:rPr>
              <w:t>Zaključak</w:t>
            </w:r>
            <w:r>
              <w:rPr>
                <w:noProof/>
                <w:webHidden/>
              </w:rPr>
              <w:tab/>
            </w:r>
            <w:r>
              <w:rPr>
                <w:noProof/>
                <w:webHidden/>
              </w:rPr>
              <w:fldChar w:fldCharType="begin"/>
            </w:r>
            <w:r>
              <w:rPr>
                <w:noProof/>
                <w:webHidden/>
              </w:rPr>
              <w:instrText xml:space="preserve"> PAGEREF _Toc168432489 \h </w:instrText>
            </w:r>
            <w:r>
              <w:rPr>
                <w:noProof/>
                <w:webHidden/>
              </w:rPr>
            </w:r>
            <w:r>
              <w:rPr>
                <w:noProof/>
                <w:webHidden/>
              </w:rPr>
              <w:fldChar w:fldCharType="separate"/>
            </w:r>
            <w:r w:rsidR="009E0DA0">
              <w:rPr>
                <w:noProof/>
                <w:webHidden/>
              </w:rPr>
              <w:t>24</w:t>
            </w:r>
            <w:r>
              <w:rPr>
                <w:noProof/>
                <w:webHidden/>
              </w:rPr>
              <w:fldChar w:fldCharType="end"/>
            </w:r>
          </w:hyperlink>
        </w:p>
        <w:p w14:paraId="156C3197" w14:textId="56ACBD66" w:rsidR="00FC2F12" w:rsidRDefault="00FC2F12">
          <w:pPr>
            <w:pStyle w:val="TOC1"/>
            <w:tabs>
              <w:tab w:val="right" w:leader="dot" w:pos="9060"/>
            </w:tabs>
            <w:rPr>
              <w:rFonts w:asciiTheme="minorHAnsi" w:eastAsiaTheme="minorEastAsia" w:hAnsiTheme="minorHAnsi" w:cstheme="minorBidi"/>
              <w:noProof/>
              <w:kern w:val="2"/>
              <w:lang w:val="en-US"/>
              <w14:ligatures w14:val="standardContextual"/>
            </w:rPr>
          </w:pPr>
          <w:hyperlink w:anchor="_Toc168432490" w:history="1">
            <w:r w:rsidRPr="003C4316">
              <w:rPr>
                <w:rStyle w:val="Hyperlink"/>
                <w:rFonts w:asciiTheme="majorHAnsi" w:eastAsiaTheme="majorEastAsia" w:hAnsiTheme="majorHAnsi" w:cstheme="majorBidi"/>
                <w:noProof/>
              </w:rPr>
              <w:t>Literatura i izvori:</w:t>
            </w:r>
            <w:r>
              <w:rPr>
                <w:noProof/>
                <w:webHidden/>
              </w:rPr>
              <w:tab/>
            </w:r>
            <w:r>
              <w:rPr>
                <w:noProof/>
                <w:webHidden/>
              </w:rPr>
              <w:fldChar w:fldCharType="begin"/>
            </w:r>
            <w:r>
              <w:rPr>
                <w:noProof/>
                <w:webHidden/>
              </w:rPr>
              <w:instrText xml:space="preserve"> PAGEREF _Toc168432490 \h </w:instrText>
            </w:r>
            <w:r>
              <w:rPr>
                <w:noProof/>
                <w:webHidden/>
              </w:rPr>
            </w:r>
            <w:r>
              <w:rPr>
                <w:noProof/>
                <w:webHidden/>
              </w:rPr>
              <w:fldChar w:fldCharType="separate"/>
            </w:r>
            <w:r w:rsidR="009E0DA0">
              <w:rPr>
                <w:noProof/>
                <w:webHidden/>
              </w:rPr>
              <w:t>24</w:t>
            </w:r>
            <w:r>
              <w:rPr>
                <w:noProof/>
                <w:webHidden/>
              </w:rPr>
              <w:fldChar w:fldCharType="end"/>
            </w:r>
          </w:hyperlink>
        </w:p>
        <w:p w14:paraId="2CB02348" w14:textId="72B71C3C" w:rsidR="00FC2F12" w:rsidRDefault="009A2392" w:rsidP="00FC2F12">
          <w:r>
            <w:rPr>
              <w:b/>
              <w:bCs/>
              <w:noProof/>
            </w:rPr>
            <w:fldChar w:fldCharType="end"/>
          </w:r>
        </w:p>
        <w:p w14:paraId="7C287D0F" w14:textId="18A15B5F" w:rsidR="0036352B" w:rsidRPr="0034518E" w:rsidRDefault="009E0DA0" w:rsidP="0034518E"/>
      </w:sdtContent>
    </w:sdt>
    <w:p w14:paraId="56AF79E5" w14:textId="77777777" w:rsidR="0036352B" w:rsidRDefault="0036352B" w:rsidP="003C189C">
      <w:pPr>
        <w:jc w:val="both"/>
        <w:rPr>
          <w:bCs/>
        </w:rPr>
      </w:pPr>
    </w:p>
    <w:p w14:paraId="5DF2CCFC" w14:textId="77777777" w:rsidR="0036352B" w:rsidRDefault="0036352B" w:rsidP="003C189C">
      <w:pPr>
        <w:jc w:val="both"/>
        <w:rPr>
          <w:bCs/>
        </w:rPr>
      </w:pPr>
    </w:p>
    <w:p w14:paraId="37DFBE94" w14:textId="77777777" w:rsidR="0036352B" w:rsidRDefault="0036352B" w:rsidP="003C189C">
      <w:pPr>
        <w:jc w:val="both"/>
        <w:rPr>
          <w:bCs/>
        </w:rPr>
      </w:pPr>
    </w:p>
    <w:p w14:paraId="778C7F7D" w14:textId="77777777" w:rsidR="0036352B" w:rsidRDefault="0036352B" w:rsidP="003C189C">
      <w:pPr>
        <w:jc w:val="both"/>
        <w:rPr>
          <w:bCs/>
        </w:rPr>
      </w:pPr>
    </w:p>
    <w:p w14:paraId="038E5E10" w14:textId="77777777" w:rsidR="0036352B" w:rsidRDefault="0036352B" w:rsidP="003C189C">
      <w:pPr>
        <w:jc w:val="both"/>
        <w:rPr>
          <w:bCs/>
        </w:rPr>
      </w:pPr>
    </w:p>
    <w:p w14:paraId="380FCDAE" w14:textId="77777777" w:rsidR="0036352B" w:rsidRDefault="0036352B" w:rsidP="003C189C">
      <w:pPr>
        <w:jc w:val="both"/>
        <w:rPr>
          <w:bCs/>
        </w:rPr>
      </w:pPr>
    </w:p>
    <w:p w14:paraId="6221A6E2" w14:textId="77777777" w:rsidR="0036352B" w:rsidRDefault="0036352B" w:rsidP="003C189C">
      <w:pPr>
        <w:jc w:val="both"/>
        <w:rPr>
          <w:bCs/>
        </w:rPr>
      </w:pPr>
    </w:p>
    <w:p w14:paraId="2AC243E7" w14:textId="77777777" w:rsidR="0036352B" w:rsidRDefault="0036352B" w:rsidP="003C189C">
      <w:pPr>
        <w:jc w:val="both"/>
        <w:rPr>
          <w:bCs/>
        </w:rPr>
      </w:pPr>
    </w:p>
    <w:p w14:paraId="7EF93DB6" w14:textId="77777777" w:rsidR="0036352B" w:rsidRDefault="0036352B" w:rsidP="003C189C">
      <w:pPr>
        <w:jc w:val="both"/>
        <w:rPr>
          <w:bCs/>
        </w:rPr>
      </w:pPr>
    </w:p>
    <w:p w14:paraId="27268D93" w14:textId="77777777" w:rsidR="0036352B" w:rsidRDefault="0036352B" w:rsidP="003C189C">
      <w:pPr>
        <w:jc w:val="both"/>
        <w:rPr>
          <w:bCs/>
        </w:rPr>
      </w:pPr>
    </w:p>
    <w:p w14:paraId="0A3DB16F" w14:textId="77777777" w:rsidR="0036352B" w:rsidRDefault="0036352B" w:rsidP="003C189C">
      <w:pPr>
        <w:jc w:val="both"/>
        <w:rPr>
          <w:bCs/>
        </w:rPr>
      </w:pPr>
    </w:p>
    <w:p w14:paraId="72AE59BD" w14:textId="77777777" w:rsidR="0036352B" w:rsidRDefault="0036352B" w:rsidP="003C189C">
      <w:pPr>
        <w:jc w:val="both"/>
        <w:rPr>
          <w:bCs/>
        </w:rPr>
      </w:pPr>
    </w:p>
    <w:p w14:paraId="448E1FB0" w14:textId="77777777" w:rsidR="0036352B" w:rsidRDefault="0036352B" w:rsidP="003C189C">
      <w:pPr>
        <w:jc w:val="both"/>
        <w:rPr>
          <w:bCs/>
        </w:rPr>
      </w:pPr>
    </w:p>
    <w:p w14:paraId="2C904D82" w14:textId="77777777" w:rsidR="0036352B" w:rsidRDefault="0036352B" w:rsidP="003C189C">
      <w:pPr>
        <w:jc w:val="both"/>
        <w:rPr>
          <w:bCs/>
        </w:rPr>
      </w:pPr>
    </w:p>
    <w:p w14:paraId="3B441757" w14:textId="77777777" w:rsidR="0036352B" w:rsidRDefault="0036352B" w:rsidP="003C189C">
      <w:pPr>
        <w:jc w:val="both"/>
        <w:rPr>
          <w:bCs/>
        </w:rPr>
      </w:pPr>
    </w:p>
    <w:p w14:paraId="41049475" w14:textId="77777777" w:rsidR="0036352B" w:rsidRDefault="0036352B" w:rsidP="003C189C">
      <w:pPr>
        <w:jc w:val="both"/>
        <w:rPr>
          <w:bCs/>
        </w:rPr>
      </w:pPr>
    </w:p>
    <w:p w14:paraId="522FA845" w14:textId="77777777" w:rsidR="0036352B" w:rsidRDefault="0036352B" w:rsidP="003C189C">
      <w:pPr>
        <w:jc w:val="both"/>
        <w:rPr>
          <w:bCs/>
        </w:rPr>
      </w:pPr>
    </w:p>
    <w:p w14:paraId="716896E0" w14:textId="77777777" w:rsidR="0036352B" w:rsidRDefault="0036352B" w:rsidP="003C189C">
      <w:pPr>
        <w:jc w:val="both"/>
        <w:rPr>
          <w:bCs/>
        </w:rPr>
      </w:pPr>
    </w:p>
    <w:p w14:paraId="0CFCFA25" w14:textId="77777777" w:rsidR="0036352B" w:rsidRDefault="0036352B" w:rsidP="003C189C">
      <w:pPr>
        <w:jc w:val="both"/>
        <w:rPr>
          <w:bCs/>
        </w:rPr>
      </w:pPr>
    </w:p>
    <w:p w14:paraId="2305FB3E" w14:textId="77777777" w:rsidR="0036352B" w:rsidRDefault="0036352B" w:rsidP="003C189C">
      <w:pPr>
        <w:jc w:val="both"/>
        <w:rPr>
          <w:bCs/>
        </w:rPr>
      </w:pPr>
    </w:p>
    <w:p w14:paraId="696DD4BE" w14:textId="77777777" w:rsidR="0036352B" w:rsidRDefault="0036352B" w:rsidP="003C189C">
      <w:pPr>
        <w:jc w:val="both"/>
        <w:rPr>
          <w:bCs/>
        </w:rPr>
      </w:pPr>
    </w:p>
    <w:p w14:paraId="2538C128" w14:textId="77777777" w:rsidR="0036352B" w:rsidRDefault="0036352B" w:rsidP="003C189C">
      <w:pPr>
        <w:jc w:val="both"/>
        <w:rPr>
          <w:bCs/>
        </w:rPr>
      </w:pPr>
    </w:p>
    <w:p w14:paraId="585899FD" w14:textId="77777777" w:rsidR="0036352B" w:rsidRDefault="0036352B" w:rsidP="003C189C">
      <w:pPr>
        <w:jc w:val="both"/>
        <w:rPr>
          <w:bCs/>
        </w:rPr>
      </w:pPr>
    </w:p>
    <w:p w14:paraId="76338B56" w14:textId="77777777" w:rsidR="0036352B" w:rsidRDefault="0036352B" w:rsidP="003C189C">
      <w:pPr>
        <w:jc w:val="both"/>
        <w:rPr>
          <w:bCs/>
        </w:rPr>
      </w:pPr>
    </w:p>
    <w:p w14:paraId="5C685FEC" w14:textId="77777777" w:rsidR="0036352B" w:rsidRDefault="0036352B" w:rsidP="003C189C">
      <w:pPr>
        <w:jc w:val="both"/>
        <w:rPr>
          <w:bCs/>
        </w:rPr>
      </w:pPr>
    </w:p>
    <w:p w14:paraId="660FC6A1" w14:textId="77777777" w:rsidR="00676ACE" w:rsidRDefault="00676ACE" w:rsidP="00482B64">
      <w:pPr>
        <w:pStyle w:val="Heading1"/>
      </w:pPr>
      <w:bookmarkStart w:id="0" w:name="_Toc168432479"/>
    </w:p>
    <w:p w14:paraId="6A1A6C73" w14:textId="21160D7A" w:rsidR="00482B64" w:rsidRDefault="00482B64" w:rsidP="00482B64">
      <w:pPr>
        <w:pStyle w:val="Heading1"/>
      </w:pPr>
      <w:r>
        <w:t>Uvod</w:t>
      </w:r>
      <w:bookmarkEnd w:id="0"/>
    </w:p>
    <w:p w14:paraId="16005573" w14:textId="77777777" w:rsidR="00482B64" w:rsidRPr="00482B64" w:rsidRDefault="00482B64" w:rsidP="00482B64"/>
    <w:p w14:paraId="335D7AF6" w14:textId="77777777" w:rsidR="005A2461" w:rsidRDefault="003C189C" w:rsidP="00A02A83">
      <w:pPr>
        <w:jc w:val="both"/>
      </w:pPr>
      <w:r w:rsidRPr="00A02A83">
        <w:t xml:space="preserve">Članom 3. Zakona o javnim nabavkama (u daljem tekstu: Zakon) određeni su opći principi sistema javnih nabavki na način da je ugovorni organ dužan da postupa transparentno, da se u postupku javne nabavke prema kandidatima/ponuđačima ponaša jednako i nediskriminirajuće, uz osiguranje pravične i aktivne konkurencije, s ciljem najefikasnijeg korištenja javnih sredstava u vezi s predmetnom nabavke i njegovom svrhom. </w:t>
      </w:r>
    </w:p>
    <w:p w14:paraId="380A875A" w14:textId="77777777" w:rsidR="005A2461" w:rsidRDefault="005A2461" w:rsidP="00A02A83">
      <w:pPr>
        <w:jc w:val="both"/>
      </w:pPr>
    </w:p>
    <w:p w14:paraId="558BB0CE" w14:textId="2442F700" w:rsidR="003C189C" w:rsidRPr="00A02A83" w:rsidRDefault="003C189C" w:rsidP="00A02A83">
      <w:pPr>
        <w:jc w:val="both"/>
      </w:pPr>
      <w:r w:rsidRPr="00A02A83">
        <w:t>Zakonom su definisani postupci javne nabavke i uslovi za njihovu primjenu, gdje konačnu odluku o primjeni određenog postupka donosi ugovorni organ u zavisnosti od ispunjenosti uslova definisanih Zakonom.</w:t>
      </w:r>
    </w:p>
    <w:p w14:paraId="6B0AB795" w14:textId="77777777" w:rsidR="003C189C" w:rsidRPr="00A02A83" w:rsidRDefault="003C189C" w:rsidP="00A02A83">
      <w:pPr>
        <w:jc w:val="both"/>
      </w:pPr>
    </w:p>
    <w:p w14:paraId="556B2BFB" w14:textId="1531CCC9" w:rsidR="003C189C" w:rsidRPr="00A02A83" w:rsidRDefault="003C189C" w:rsidP="00A02A83">
      <w:pPr>
        <w:jc w:val="both"/>
      </w:pPr>
      <w:r w:rsidRPr="00A02A83">
        <w:t>Zakon se primjenjuje na ugovore o javnim nabavkama čiji su predmet robe, usluge i radovi i koje dodjeljuju ugovorni organi definisani u članu 4. i 5. Zakona. Dakle, svi ugovorni organi navedeni u pomenutom članu Zakona, koji dodjeljuju javne ugovore za robe, usluge i radove, obavezni su provesti odgovarajući postupak javne nabavke i slijediti zahtjeve koje definira Zakon i podzakonski akti.</w:t>
      </w:r>
    </w:p>
    <w:p w14:paraId="4046566E" w14:textId="77777777" w:rsidR="003C189C" w:rsidRPr="00A02A83" w:rsidRDefault="003C189C" w:rsidP="00A02A83">
      <w:pPr>
        <w:jc w:val="both"/>
      </w:pPr>
    </w:p>
    <w:p w14:paraId="182F440B" w14:textId="5C34C7A5" w:rsidR="003C189C" w:rsidRPr="00A02A83" w:rsidRDefault="003C189C" w:rsidP="00A02A83">
      <w:pPr>
        <w:jc w:val="both"/>
      </w:pPr>
      <w:r w:rsidRPr="00A02A83">
        <w:t>Prije pokretanja određenog postupka, ugovorni organi utvrđuju svoje potrebe za konkretnim predmetom nabavke, i na osnovu istih utvrđuju procjenjenu vrijednost nabavke na godišnjem nivou i ispunjenost drugih Zakonom propisanih uslova, te donose odluku koji postupak provesti.</w:t>
      </w:r>
    </w:p>
    <w:p w14:paraId="2F126902" w14:textId="77777777" w:rsidR="000D3A23" w:rsidRPr="00A02A83" w:rsidRDefault="000D3A23" w:rsidP="00A02A83">
      <w:pPr>
        <w:jc w:val="both"/>
      </w:pPr>
    </w:p>
    <w:p w14:paraId="0459D521" w14:textId="1DFB9444" w:rsidR="00AE2653" w:rsidRPr="00A02A83" w:rsidRDefault="005D5046" w:rsidP="00A02A83">
      <w:pPr>
        <w:jc w:val="both"/>
      </w:pPr>
      <w:r w:rsidRPr="00A02A83">
        <w:t>Od vrijednosnih razreda zavisi primjena odgovarajućeg postupka javne nabavke</w:t>
      </w:r>
      <w:r w:rsidR="00D076B0" w:rsidRPr="00A02A83">
        <w:t xml:space="preserve">. </w:t>
      </w:r>
      <w:r w:rsidR="009833F6" w:rsidRPr="00A02A83">
        <w:t xml:space="preserve">Ti postupci omogućuju bolje upravljanje nabavnim procesima, prilagođavanje postupka javne nabavke složenosti i obimu nabavke te </w:t>
      </w:r>
      <w:r w:rsidR="000D3A23" w:rsidRPr="00A02A83">
        <w:t>osiguravaju</w:t>
      </w:r>
      <w:r w:rsidR="009833F6" w:rsidRPr="00A02A83">
        <w:t xml:space="preserve"> </w:t>
      </w:r>
      <w:r w:rsidR="000D3A23" w:rsidRPr="00A02A83">
        <w:t>transparentnost</w:t>
      </w:r>
      <w:r w:rsidR="009833F6" w:rsidRPr="00A02A83">
        <w:t xml:space="preserve"> i </w:t>
      </w:r>
      <w:r w:rsidR="000D3A23" w:rsidRPr="00A02A83">
        <w:t>konkurentnost</w:t>
      </w:r>
      <w:r w:rsidR="009833F6" w:rsidRPr="00A02A83">
        <w:t>.</w:t>
      </w:r>
      <w:r w:rsidR="007E01B2" w:rsidRPr="00A02A83">
        <w:t xml:space="preserve"> Kroz jasno definisane </w:t>
      </w:r>
      <w:r w:rsidR="00A97226" w:rsidRPr="00A02A83">
        <w:t>vrijednosne razrede</w:t>
      </w:r>
      <w:r w:rsidR="007E01B2" w:rsidRPr="00A02A83">
        <w:t>, ugovorni organi mogu bolje planirati svoje nabavne aktivnosti, osiguravajući da se sredstva koriste na najefikasniji način za postizanje ciljeva i ispunjavanju svojih potreba</w:t>
      </w:r>
      <w:r w:rsidR="00A97226" w:rsidRPr="00A02A83">
        <w:t>, o</w:t>
      </w:r>
      <w:r w:rsidR="007E01B2" w:rsidRPr="00A02A83">
        <w:t>vo doprinosi odgovornom upravljanju javnim finansijama i osigurava optimalnu vrijednost za javni novac.</w:t>
      </w:r>
      <w:r w:rsidR="009833F6" w:rsidRPr="00A02A83">
        <w:t xml:space="preserve">  </w:t>
      </w:r>
    </w:p>
    <w:p w14:paraId="34311309" w14:textId="77777777" w:rsidR="00AE2653" w:rsidRDefault="00AE2653" w:rsidP="00AE2653">
      <w:pPr>
        <w:jc w:val="both"/>
        <w:rPr>
          <w:bCs/>
        </w:rPr>
      </w:pPr>
    </w:p>
    <w:p w14:paraId="689374DA" w14:textId="000C35A0" w:rsidR="00AE2653" w:rsidRPr="00AE2653" w:rsidRDefault="00B5399E" w:rsidP="00AE2653">
      <w:pPr>
        <w:pStyle w:val="Heading1"/>
        <w:rPr>
          <w:rStyle w:val="Heading1Char"/>
          <w:rFonts w:ascii="Times New Roman" w:eastAsia="Times New Roman" w:hAnsi="Times New Roman" w:cs="Times New Roman"/>
          <w:bCs/>
          <w:color w:val="auto"/>
          <w:sz w:val="24"/>
          <w:szCs w:val="24"/>
        </w:rPr>
      </w:pPr>
      <w:bookmarkStart w:id="1" w:name="_Toc168432480"/>
      <w:r w:rsidRPr="00B965E0">
        <w:rPr>
          <w:rStyle w:val="Heading1Char"/>
        </w:rPr>
        <w:t>Vrijednosni razredi</w:t>
      </w:r>
      <w:bookmarkEnd w:id="1"/>
    </w:p>
    <w:p w14:paraId="430CD56E" w14:textId="77777777" w:rsidR="00AE2653" w:rsidRDefault="00AE2653" w:rsidP="00AE2653">
      <w:pPr>
        <w:jc w:val="both"/>
        <w:rPr>
          <w:rStyle w:val="Heading1Char"/>
        </w:rPr>
      </w:pPr>
    </w:p>
    <w:p w14:paraId="6366917F" w14:textId="46312BC1" w:rsidR="00B5399E" w:rsidRPr="00A02A83" w:rsidRDefault="00AE2653" w:rsidP="00A02A83">
      <w:pPr>
        <w:jc w:val="both"/>
      </w:pPr>
      <w:r w:rsidRPr="00A02A83">
        <w:t>Vrijednosni razredi</w:t>
      </w:r>
      <w:r w:rsidRPr="00A02A83">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5399E" w:rsidRPr="00A02A83">
        <w:t>mogu biti važan alat za planiranje budžeta ugovornom organu, odnosno donošenje plana javnih nabavki. Razdvajanje javnih nabavki prema vrijednosnom razredu omogućuje/pruža bolje upravljanje budžetom, pravilnu raspodjelu sredstava i planiranje resursa za različite postupke javne nabavke.</w:t>
      </w:r>
    </w:p>
    <w:p w14:paraId="70E8939E" w14:textId="77777777" w:rsidR="00B5399E" w:rsidRPr="00A02A83" w:rsidRDefault="00B5399E" w:rsidP="00A02A83">
      <w:pPr>
        <w:jc w:val="both"/>
      </w:pPr>
    </w:p>
    <w:p w14:paraId="2574167A" w14:textId="77820E17" w:rsidR="00B5399E" w:rsidRPr="00A02A83" w:rsidRDefault="00B5399E" w:rsidP="00A02A83">
      <w:pPr>
        <w:jc w:val="both"/>
      </w:pPr>
      <w:r w:rsidRPr="00A02A83">
        <w:t>Planiranje postupaka javnih nabavki ključno je za osiguranje učinkovitog korištenja javnih sredstava i izbjegavanje prekoračenja budžeta.</w:t>
      </w:r>
    </w:p>
    <w:p w14:paraId="31C163AB" w14:textId="77777777" w:rsidR="009833F6" w:rsidRPr="00A02A83" w:rsidRDefault="009833F6" w:rsidP="00A02A83">
      <w:pPr>
        <w:jc w:val="both"/>
      </w:pPr>
    </w:p>
    <w:p w14:paraId="16F4C30F" w14:textId="77777777" w:rsidR="00B5399E" w:rsidRPr="00A02A83" w:rsidRDefault="00B5399E" w:rsidP="00A02A83">
      <w:pPr>
        <w:jc w:val="both"/>
      </w:pPr>
      <w:r w:rsidRPr="00A02A83">
        <w:t>Osnovno pravilo sistema javnih nabavki je obezbjeđenje finansijskih sredstava prije pokretanja postupka javne nabavke. To bi u osnovi trebao da bude jedan od osnovnih postulata sistema javnih nabavki, a u cilju najefikasnijeg korištenja javnih sredstava.</w:t>
      </w:r>
    </w:p>
    <w:p w14:paraId="46EBC7D4" w14:textId="77777777" w:rsidR="00B5399E" w:rsidRPr="00B5399E" w:rsidRDefault="00B5399E" w:rsidP="00A02A83">
      <w:pPr>
        <w:jc w:val="both"/>
      </w:pPr>
    </w:p>
    <w:p w14:paraId="5D9B54F9" w14:textId="36696F04" w:rsidR="009833F6" w:rsidRPr="00A02A83" w:rsidRDefault="009833F6" w:rsidP="00A02A83">
      <w:pPr>
        <w:jc w:val="both"/>
        <w:rPr>
          <w:position w:val="-2"/>
        </w:rPr>
      </w:pPr>
      <w:r w:rsidRPr="00A02A83">
        <w:rPr>
          <w:position w:val="-2"/>
        </w:rPr>
        <w:lastRenderedPageBreak/>
        <w:t>Ugovorni organ shodno članu 53. Zakona priprema tendersku dokumentaciju u skladu s odredbama Zakona i podzakonskim aktima. U tenderskoj dokumentaciji ugovorni organ daje potpune informacije o uslovima ugovora i postupku dodjele ugovora, a koji su kandidatima/ponuđačima dovoljni za pripremu zahtjeva za učešće, odnosno ponuda na stvarno konkurentskoj osnovi.</w:t>
      </w:r>
    </w:p>
    <w:p w14:paraId="2B17CA2C" w14:textId="77777777" w:rsidR="009833F6" w:rsidRPr="00A02A83" w:rsidRDefault="009833F6" w:rsidP="00A02A83">
      <w:pPr>
        <w:jc w:val="both"/>
        <w:rPr>
          <w:position w:val="-2"/>
        </w:rPr>
      </w:pPr>
    </w:p>
    <w:p w14:paraId="4AB3BB2C" w14:textId="77777777" w:rsidR="009833F6" w:rsidRPr="00A02A83" w:rsidRDefault="009833F6" w:rsidP="00A02A83">
      <w:pPr>
        <w:jc w:val="both"/>
        <w:rPr>
          <w:position w:val="-2"/>
        </w:rPr>
      </w:pPr>
      <w:r w:rsidRPr="00A02A83">
        <w:rPr>
          <w:position w:val="-2"/>
        </w:rPr>
        <w:t>Odredba člana 3. stav (2) tačka a) alineja 7) Uputstva za pripremu modela tenderske dokumentacije i ponuda („Službeni glasnik BiH“, br. 90/14 i 20/15) propisuje da se tenderska dokumentacija sastoji između ostalih podatka i od podatka o vrsti ugovora o javnoj nabavci (robe, usluge ili radovi) sa procijenjenom vrijednošću javne nabavke.</w:t>
      </w:r>
    </w:p>
    <w:p w14:paraId="6C2061DF" w14:textId="77777777" w:rsidR="009833F6" w:rsidRPr="00A02A83" w:rsidRDefault="009833F6" w:rsidP="00A02A83">
      <w:pPr>
        <w:jc w:val="both"/>
        <w:rPr>
          <w:position w:val="-2"/>
        </w:rPr>
      </w:pPr>
    </w:p>
    <w:p w14:paraId="31578E84" w14:textId="77777777" w:rsidR="009833F6" w:rsidRPr="00A02A83" w:rsidRDefault="009833F6" w:rsidP="00A02A83">
      <w:pPr>
        <w:jc w:val="both"/>
        <w:rPr>
          <w:position w:val="-2"/>
        </w:rPr>
      </w:pPr>
      <w:r w:rsidRPr="00A02A83">
        <w:rPr>
          <w:position w:val="-2"/>
        </w:rPr>
        <w:t xml:space="preserve">Takođe, u cilju postizanja transparentnosti postupka javne nabavke prilikom objavljivanja obavještenja o nabavci ugovorni organ u tačci II 6.a Obavješenja o nabavci navodi procijenjenu ukupnu vrijednost ugovora bez PDV-a u KM, a u tačci III 3. Bitne uslove finansiranja i plaćanja ili upućuje na odgovarajuće  propise. </w:t>
      </w:r>
    </w:p>
    <w:p w14:paraId="07032404" w14:textId="77777777" w:rsidR="009833F6" w:rsidRPr="00A02A83" w:rsidRDefault="009833F6" w:rsidP="00A02A83">
      <w:pPr>
        <w:jc w:val="both"/>
        <w:rPr>
          <w:position w:val="-2"/>
        </w:rPr>
      </w:pPr>
    </w:p>
    <w:p w14:paraId="29AE08D5" w14:textId="77777777" w:rsidR="006661CD" w:rsidRDefault="009833F6" w:rsidP="00A02A83">
      <w:pPr>
        <w:jc w:val="both"/>
        <w:rPr>
          <w:position w:val="-2"/>
        </w:rPr>
      </w:pPr>
      <w:r w:rsidRPr="00A02A83">
        <w:rPr>
          <w:position w:val="-2"/>
        </w:rPr>
        <w:t xml:space="preserve">Dakle, obavještenje o nabavci predstavlja najvažnije informacije o postupku javne nabavke na način da se svim zainteresiranim privrednim subjektima pruži dovoljno informacija koje će im omogućiti da ocijene da li imaju interes za učešće u postupku javne nabavke kako bi na vrijeme preduzeli odgovarajuće korake i dostavili zahtjev za učešće, odnosno ponudu. </w:t>
      </w:r>
    </w:p>
    <w:p w14:paraId="4C11FB4D" w14:textId="77777777" w:rsidR="006661CD" w:rsidRDefault="006661CD" w:rsidP="00A02A83">
      <w:pPr>
        <w:jc w:val="both"/>
        <w:rPr>
          <w:position w:val="-2"/>
        </w:rPr>
      </w:pPr>
    </w:p>
    <w:p w14:paraId="52D8EEB6" w14:textId="1495A61A" w:rsidR="008712E1" w:rsidRPr="00A02A83" w:rsidRDefault="009833F6" w:rsidP="00A02A83">
      <w:pPr>
        <w:jc w:val="both"/>
        <w:rPr>
          <w:position w:val="-2"/>
        </w:rPr>
      </w:pPr>
      <w:r w:rsidRPr="00A02A83">
        <w:rPr>
          <w:position w:val="-2"/>
        </w:rPr>
        <w:t xml:space="preserve">Praktično ne smije biti nikakve razlike između informacija iz obavještenja o nabavci i informacija iz tenderske dokumentacije. </w:t>
      </w:r>
      <w:r w:rsidR="008712E1" w:rsidRPr="00A02A83">
        <w:rPr>
          <w:position w:val="-2"/>
        </w:rPr>
        <w:t>U slučaju razlike između procijenjenih vrijednosti nabavke u planu nabavke i tenderskoj dokumentaciji, postavlja se pitanje, da li je meritorna procijenjena vrijednost nabavke koja je navedena u planu nabavke ili ona koja je navedena u tenderskoj dokumentaciji? U slučaju da postoji razlika između dvije procijenjene vrijednosti, što nije nemoguća situacija, relevantan je  podatak o procijenjenoj vrijednosti javne nabave kako je navedeno u tenderskoj dokumentaciji.</w:t>
      </w:r>
    </w:p>
    <w:p w14:paraId="16640721" w14:textId="77777777" w:rsidR="009833F6" w:rsidRPr="00A02A83" w:rsidRDefault="009833F6" w:rsidP="00A02A83">
      <w:pPr>
        <w:jc w:val="both"/>
        <w:rPr>
          <w:position w:val="-2"/>
        </w:rPr>
      </w:pPr>
    </w:p>
    <w:p w14:paraId="2B36A342" w14:textId="79C65D25" w:rsidR="005D5046" w:rsidRPr="00A02A83" w:rsidRDefault="009833F6" w:rsidP="00A02A83">
      <w:pPr>
        <w:jc w:val="both"/>
        <w:rPr>
          <w:position w:val="-2"/>
        </w:rPr>
      </w:pPr>
      <w:r w:rsidRPr="00A02A83">
        <w:rPr>
          <w:position w:val="-2"/>
        </w:rPr>
        <w:t xml:space="preserve">Kod pokretanja postupka javne </w:t>
      </w:r>
      <w:r w:rsidR="003C189C" w:rsidRPr="00A02A83">
        <w:rPr>
          <w:position w:val="-2"/>
        </w:rPr>
        <w:t xml:space="preserve">nabavke </w:t>
      </w:r>
      <w:r w:rsidRPr="00A02A83">
        <w:rPr>
          <w:position w:val="-2"/>
        </w:rPr>
        <w:t xml:space="preserve">i prije određivanja procijenjene vrijednosti javne nabavke potrebno je da se provede prethodna provjera tržišta. Ona u velikoj mjeri pomaže da </w:t>
      </w:r>
      <w:r w:rsidR="00A97226" w:rsidRPr="00A02A83">
        <w:rPr>
          <w:position w:val="-2"/>
        </w:rPr>
        <w:t>se odredi procijenjena</w:t>
      </w:r>
      <w:r w:rsidRPr="00A02A83">
        <w:rPr>
          <w:position w:val="-2"/>
        </w:rPr>
        <w:t xml:space="preserve"> vrijednost javne nabavke.</w:t>
      </w:r>
    </w:p>
    <w:p w14:paraId="0B25832F" w14:textId="77777777" w:rsidR="000163A4" w:rsidRDefault="000163A4" w:rsidP="009833F6">
      <w:pPr>
        <w:jc w:val="both"/>
        <w:rPr>
          <w:bCs/>
        </w:rPr>
      </w:pPr>
    </w:p>
    <w:p w14:paraId="0EE65150" w14:textId="413CBDB9" w:rsidR="000163A4" w:rsidRPr="000163A4" w:rsidRDefault="000163A4" w:rsidP="009833F6">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3A4">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Primjer iz prakse:</w:t>
      </w:r>
    </w:p>
    <w:p w14:paraId="530E04BE" w14:textId="77777777" w:rsidR="000C0996" w:rsidRDefault="000C0996" w:rsidP="009833F6">
      <w:pPr>
        <w:jc w:val="both"/>
        <w:rPr>
          <w:bCs/>
        </w:rPr>
      </w:pPr>
    </w:p>
    <w:p w14:paraId="14477F83" w14:textId="3C60A394" w:rsidR="000C0996" w:rsidRDefault="000C0996" w:rsidP="000C0996">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0996">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Pregled</w:t>
      </w:r>
      <w:r w:rsidR="00060E81">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w:t>
      </w:r>
      <w:r w:rsidRPr="000C0996">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dodjeljenih ugovora prema najvećoj vrijednosti domačim ponuđačima</w:t>
      </w:r>
    </w:p>
    <w:p w14:paraId="63388B21" w14:textId="77777777" w:rsidR="00FB50B1" w:rsidRDefault="00FB50B1" w:rsidP="000C0996">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99"/>
        <w:gridCol w:w="2010"/>
        <w:gridCol w:w="1676"/>
        <w:gridCol w:w="1356"/>
        <w:gridCol w:w="784"/>
        <w:gridCol w:w="1187"/>
        <w:gridCol w:w="1448"/>
      </w:tblGrid>
      <w:tr w:rsidR="00795D3B" w14:paraId="5D17B362" w14:textId="77777777" w:rsidTr="00795D3B">
        <w:trPr>
          <w:trHeight w:val="310"/>
        </w:trPr>
        <w:tc>
          <w:tcPr>
            <w:tcW w:w="599" w:type="dxa"/>
            <w:tcBorders>
              <w:bottom w:val="single" w:sz="4" w:space="0" w:color="auto"/>
            </w:tcBorders>
            <w:shd w:val="clear" w:color="000000" w:fill="D6DCE4"/>
            <w:vAlign w:val="center"/>
          </w:tcPr>
          <w:p w14:paraId="3D06DF07" w14:textId="49FD18F5"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6"/>
                <w:szCs w:val="16"/>
                <w:lang w:eastAsia="bs-Latn-BA"/>
              </w:rPr>
              <w:t>Redni broj</w:t>
            </w:r>
          </w:p>
        </w:tc>
        <w:tc>
          <w:tcPr>
            <w:tcW w:w="2010" w:type="dxa"/>
            <w:tcBorders>
              <w:bottom w:val="single" w:sz="4" w:space="0" w:color="auto"/>
            </w:tcBorders>
            <w:shd w:val="clear" w:color="000000" w:fill="D6DCE4"/>
            <w:vAlign w:val="center"/>
          </w:tcPr>
          <w:p w14:paraId="585C206F" w14:textId="0DB343AD"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6"/>
                <w:szCs w:val="16"/>
                <w:lang w:eastAsia="bs-Latn-BA"/>
              </w:rPr>
              <w:t>Ugovorni organ</w:t>
            </w:r>
          </w:p>
        </w:tc>
        <w:tc>
          <w:tcPr>
            <w:tcW w:w="1676" w:type="dxa"/>
            <w:tcBorders>
              <w:bottom w:val="single" w:sz="4" w:space="0" w:color="auto"/>
            </w:tcBorders>
            <w:shd w:val="clear" w:color="000000" w:fill="D6DCE4"/>
            <w:vAlign w:val="center"/>
          </w:tcPr>
          <w:p w14:paraId="2AC26CEC" w14:textId="31380111"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6"/>
                <w:szCs w:val="16"/>
                <w:lang w:eastAsia="bs-Latn-BA"/>
              </w:rPr>
              <w:t>Dobavljač</w:t>
            </w:r>
          </w:p>
        </w:tc>
        <w:tc>
          <w:tcPr>
            <w:tcW w:w="1356" w:type="dxa"/>
            <w:tcBorders>
              <w:bottom w:val="single" w:sz="4" w:space="0" w:color="auto"/>
            </w:tcBorders>
            <w:shd w:val="clear" w:color="000000" w:fill="D6DCE4"/>
            <w:vAlign w:val="center"/>
          </w:tcPr>
          <w:p w14:paraId="4BA6E8B5" w14:textId="4C8DAC03"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6"/>
                <w:szCs w:val="16"/>
                <w:lang w:eastAsia="bs-Latn-BA"/>
              </w:rPr>
              <w:t>Vrijednost ugovora</w:t>
            </w:r>
          </w:p>
        </w:tc>
        <w:tc>
          <w:tcPr>
            <w:tcW w:w="784" w:type="dxa"/>
            <w:tcBorders>
              <w:bottom w:val="single" w:sz="4" w:space="0" w:color="auto"/>
            </w:tcBorders>
            <w:shd w:val="clear" w:color="000000" w:fill="D6DCE4"/>
            <w:vAlign w:val="center"/>
          </w:tcPr>
          <w:p w14:paraId="5D3A4770" w14:textId="720CC9D3"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6"/>
                <w:szCs w:val="16"/>
                <w:lang w:eastAsia="bs-Latn-BA"/>
              </w:rPr>
              <w:t>Predmet nabavke</w:t>
            </w:r>
          </w:p>
        </w:tc>
        <w:tc>
          <w:tcPr>
            <w:tcW w:w="1187" w:type="dxa"/>
            <w:tcBorders>
              <w:bottom w:val="single" w:sz="4" w:space="0" w:color="auto"/>
            </w:tcBorders>
            <w:shd w:val="clear" w:color="000000" w:fill="D6DCE4"/>
            <w:vAlign w:val="center"/>
          </w:tcPr>
          <w:p w14:paraId="1FD36BCE" w14:textId="6FA7A294"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6"/>
                <w:szCs w:val="16"/>
                <w:lang w:eastAsia="bs-Latn-BA"/>
              </w:rPr>
              <w:t>Vrsta postupka</w:t>
            </w:r>
          </w:p>
        </w:tc>
        <w:tc>
          <w:tcPr>
            <w:tcW w:w="1448" w:type="dxa"/>
            <w:tcBorders>
              <w:bottom w:val="single" w:sz="4" w:space="0" w:color="auto"/>
            </w:tcBorders>
            <w:shd w:val="clear" w:color="000000" w:fill="D6DCE4"/>
            <w:vAlign w:val="center"/>
          </w:tcPr>
          <w:p w14:paraId="0CDB88B1" w14:textId="0D14FC95"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6"/>
                <w:szCs w:val="16"/>
                <w:lang w:eastAsia="bs-Latn-BA"/>
              </w:rPr>
              <w:t>Naziv predmeta</w:t>
            </w:r>
          </w:p>
        </w:tc>
      </w:tr>
      <w:tr w:rsidR="00795D3B" w:rsidRPr="00795D3B" w14:paraId="1302E90E" w14:textId="77777777" w:rsidTr="00795D3B">
        <w:trPr>
          <w:trHeight w:val="310"/>
        </w:trPr>
        <w:tc>
          <w:tcPr>
            <w:tcW w:w="599" w:type="dxa"/>
            <w:tcBorders>
              <w:top w:val="single" w:sz="4" w:space="0" w:color="auto"/>
              <w:bottom w:val="single" w:sz="4" w:space="0" w:color="auto"/>
              <w:right w:val="single" w:sz="4" w:space="0" w:color="auto"/>
            </w:tcBorders>
            <w:shd w:val="clear" w:color="auto" w:fill="auto"/>
            <w:vAlign w:val="center"/>
          </w:tcPr>
          <w:p w14:paraId="7149A292" w14:textId="792A9A7F"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lang w:eastAsia="bs-Latn-BA"/>
              </w:rPr>
              <w:t>1</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7275E714" w14:textId="77777777" w:rsidR="00795D3B" w:rsidRPr="00795D3B" w:rsidRDefault="00795D3B" w:rsidP="00795D3B">
            <w:pPr>
              <w:jc w:val="center"/>
              <w:rPr>
                <w:color w:val="000000"/>
                <w:sz w:val="18"/>
                <w:szCs w:val="18"/>
                <w:lang w:val="pt-BR"/>
              </w:rPr>
            </w:pPr>
            <w:r w:rsidRPr="00795D3B">
              <w:rPr>
                <w:color w:val="000000"/>
                <w:sz w:val="18"/>
                <w:szCs w:val="18"/>
              </w:rPr>
              <w:t>HIDROELEKTRANA DABAR D.O.O. TREBINJE</w:t>
            </w:r>
          </w:p>
          <w:p w14:paraId="57877E62"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302EEEAA" w14:textId="77777777" w:rsidR="00795D3B" w:rsidRPr="00795D3B" w:rsidRDefault="00795D3B" w:rsidP="00795D3B">
            <w:pPr>
              <w:jc w:val="center"/>
              <w:rPr>
                <w:color w:val="000000"/>
                <w:sz w:val="18"/>
                <w:szCs w:val="18"/>
                <w:lang w:val="en-US"/>
              </w:rPr>
            </w:pPr>
            <w:r w:rsidRPr="00795D3B">
              <w:rPr>
                <w:color w:val="000000"/>
                <w:sz w:val="18"/>
                <w:szCs w:val="18"/>
              </w:rPr>
              <w:t>CGGC BIH OFFICE</w:t>
            </w:r>
          </w:p>
          <w:p w14:paraId="5DE03ED2"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386C81A" w14:textId="77777777" w:rsidR="00795D3B" w:rsidRPr="00795D3B" w:rsidRDefault="00795D3B" w:rsidP="00795D3B">
            <w:pPr>
              <w:jc w:val="center"/>
              <w:rPr>
                <w:color w:val="000000"/>
                <w:sz w:val="18"/>
                <w:szCs w:val="18"/>
                <w:lang w:val="en-US"/>
              </w:rPr>
            </w:pPr>
            <w:r w:rsidRPr="00795D3B">
              <w:rPr>
                <w:color w:val="000000"/>
                <w:sz w:val="18"/>
                <w:szCs w:val="18"/>
              </w:rPr>
              <w:t>435.825.657,00</w:t>
            </w:r>
          </w:p>
          <w:p w14:paraId="30EEB16D" w14:textId="344533C8"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4B746D7" w14:textId="77777777" w:rsidR="00795D3B" w:rsidRPr="00795D3B" w:rsidRDefault="00795D3B" w:rsidP="00795D3B">
            <w:pPr>
              <w:jc w:val="center"/>
              <w:rPr>
                <w:color w:val="000000"/>
                <w:sz w:val="18"/>
                <w:szCs w:val="18"/>
                <w:lang w:val="en-US"/>
              </w:rPr>
            </w:pPr>
            <w:r w:rsidRPr="00795D3B">
              <w:rPr>
                <w:color w:val="000000"/>
                <w:sz w:val="18"/>
                <w:szCs w:val="18"/>
              </w:rPr>
              <w:t>Radovi</w:t>
            </w:r>
          </w:p>
          <w:p w14:paraId="50197C23"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6258530" w14:textId="77777777" w:rsidR="00795D3B" w:rsidRPr="00795D3B" w:rsidRDefault="00795D3B" w:rsidP="00795D3B">
            <w:pPr>
              <w:jc w:val="center"/>
              <w:rPr>
                <w:color w:val="000000"/>
                <w:sz w:val="18"/>
                <w:szCs w:val="18"/>
                <w:lang w:val="en-US"/>
              </w:rPr>
            </w:pPr>
            <w:r w:rsidRPr="00795D3B">
              <w:rPr>
                <w:color w:val="000000"/>
                <w:sz w:val="18"/>
                <w:szCs w:val="18"/>
              </w:rPr>
              <w:t>Takmičarski dijalog</w:t>
            </w:r>
          </w:p>
          <w:p w14:paraId="7CBC26E0"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92C493F" w14:textId="18736F89"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color w:val="000000"/>
                <w:sz w:val="18"/>
                <w:szCs w:val="18"/>
              </w:rPr>
              <w:t>Finansiranje i izgradnja objekata HE Dabar</w:t>
            </w:r>
          </w:p>
        </w:tc>
      </w:tr>
      <w:tr w:rsidR="00795D3B" w:rsidRPr="00795D3B" w14:paraId="783475D1" w14:textId="77777777" w:rsidTr="00795D3B">
        <w:trPr>
          <w:trHeight w:val="310"/>
        </w:trPr>
        <w:tc>
          <w:tcPr>
            <w:tcW w:w="599" w:type="dxa"/>
            <w:tcBorders>
              <w:top w:val="single" w:sz="4" w:space="0" w:color="auto"/>
              <w:bottom w:val="single" w:sz="4" w:space="0" w:color="auto"/>
              <w:right w:val="single" w:sz="4" w:space="0" w:color="auto"/>
            </w:tcBorders>
            <w:shd w:val="clear" w:color="auto" w:fill="auto"/>
            <w:vAlign w:val="center"/>
          </w:tcPr>
          <w:p w14:paraId="71B37887" w14:textId="1F8AA03B"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lang w:eastAsia="bs-Latn-BA"/>
              </w:rPr>
              <w:t>2</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2431B986" w14:textId="77777777" w:rsidR="00795D3B" w:rsidRPr="00795D3B" w:rsidRDefault="00795D3B" w:rsidP="00795D3B">
            <w:pPr>
              <w:jc w:val="center"/>
              <w:rPr>
                <w:color w:val="000000"/>
                <w:sz w:val="18"/>
                <w:szCs w:val="18"/>
                <w:lang w:val="en-US"/>
              </w:rPr>
            </w:pPr>
            <w:r w:rsidRPr="00795D3B">
              <w:rPr>
                <w:color w:val="000000"/>
                <w:sz w:val="18"/>
                <w:szCs w:val="18"/>
              </w:rPr>
              <w:t>MINISTARSTVO ZDRAVLJA I SOCIJALNE ZAŠTITE REPUBLIKE SRPSKE</w:t>
            </w:r>
          </w:p>
          <w:p w14:paraId="6457107E"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2A7051A" w14:textId="77777777" w:rsidR="00795D3B" w:rsidRPr="00795D3B" w:rsidRDefault="00795D3B" w:rsidP="00795D3B">
            <w:pPr>
              <w:jc w:val="center"/>
              <w:rPr>
                <w:color w:val="000000"/>
                <w:sz w:val="18"/>
                <w:szCs w:val="18"/>
                <w:lang w:val="en-US"/>
              </w:rPr>
            </w:pPr>
            <w:r w:rsidRPr="00795D3B">
              <w:rPr>
                <w:color w:val="000000"/>
                <w:sz w:val="18"/>
                <w:szCs w:val="18"/>
              </w:rPr>
              <w:t xml:space="preserve">HERC GRADNJA </w:t>
            </w:r>
          </w:p>
          <w:p w14:paraId="044A1492"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7C7B6B7E" w14:textId="77777777" w:rsidR="00795D3B" w:rsidRPr="00795D3B" w:rsidRDefault="00795D3B" w:rsidP="00795D3B">
            <w:pPr>
              <w:jc w:val="center"/>
              <w:rPr>
                <w:color w:val="000000"/>
                <w:sz w:val="18"/>
                <w:szCs w:val="18"/>
                <w:lang w:val="en-US"/>
              </w:rPr>
            </w:pPr>
            <w:r w:rsidRPr="00795D3B">
              <w:rPr>
                <w:color w:val="000000"/>
                <w:sz w:val="18"/>
                <w:szCs w:val="18"/>
              </w:rPr>
              <w:t>109.784.999,00</w:t>
            </w:r>
          </w:p>
          <w:p w14:paraId="0D23C6F6" w14:textId="2CDF0EDE"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5D7B1B1" w14:textId="77777777" w:rsidR="00795D3B" w:rsidRPr="00795D3B" w:rsidRDefault="00795D3B" w:rsidP="00795D3B">
            <w:pPr>
              <w:jc w:val="center"/>
              <w:rPr>
                <w:color w:val="000000"/>
                <w:sz w:val="18"/>
                <w:szCs w:val="18"/>
                <w:lang w:val="en-US"/>
              </w:rPr>
            </w:pPr>
            <w:r w:rsidRPr="00795D3B">
              <w:rPr>
                <w:color w:val="000000"/>
                <w:sz w:val="18"/>
                <w:szCs w:val="18"/>
              </w:rPr>
              <w:t>Radovi</w:t>
            </w:r>
          </w:p>
          <w:p w14:paraId="30947ED8"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EC8A2F3" w14:textId="77777777" w:rsidR="00795D3B" w:rsidRPr="00795D3B" w:rsidRDefault="00795D3B" w:rsidP="00795D3B">
            <w:pPr>
              <w:jc w:val="center"/>
              <w:rPr>
                <w:color w:val="000000"/>
                <w:sz w:val="18"/>
                <w:szCs w:val="18"/>
              </w:rPr>
            </w:pPr>
          </w:p>
          <w:p w14:paraId="52202156" w14:textId="77777777" w:rsidR="00795D3B" w:rsidRPr="00795D3B" w:rsidRDefault="00795D3B" w:rsidP="00795D3B">
            <w:pPr>
              <w:jc w:val="center"/>
              <w:rPr>
                <w:color w:val="000000"/>
                <w:sz w:val="18"/>
                <w:szCs w:val="18"/>
                <w:lang w:val="en-US"/>
              </w:rPr>
            </w:pPr>
            <w:r w:rsidRPr="00795D3B">
              <w:rPr>
                <w:color w:val="000000"/>
                <w:sz w:val="18"/>
                <w:szCs w:val="18"/>
              </w:rPr>
              <w:t>Otvoreni postupak</w:t>
            </w:r>
          </w:p>
          <w:p w14:paraId="4BD2F624"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77399C77" w14:textId="35ABD103"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color w:val="000000"/>
                <w:sz w:val="18"/>
                <w:szCs w:val="18"/>
              </w:rPr>
              <w:t xml:space="preserve">Nabavka radova vezano za projektovanje, izgradnju i opremanje JZU Bolnice Trebinje po principu “ključ u ruke”   </w:t>
            </w:r>
          </w:p>
        </w:tc>
      </w:tr>
      <w:tr w:rsidR="00795D3B" w:rsidRPr="00795D3B" w14:paraId="22662F4C" w14:textId="77777777" w:rsidTr="00795D3B">
        <w:trPr>
          <w:trHeight w:val="310"/>
        </w:trPr>
        <w:tc>
          <w:tcPr>
            <w:tcW w:w="599" w:type="dxa"/>
            <w:tcBorders>
              <w:top w:val="single" w:sz="4" w:space="0" w:color="auto"/>
              <w:bottom w:val="single" w:sz="4" w:space="0" w:color="auto"/>
              <w:right w:val="single" w:sz="4" w:space="0" w:color="auto"/>
            </w:tcBorders>
            <w:shd w:val="clear" w:color="auto" w:fill="auto"/>
            <w:vAlign w:val="center"/>
          </w:tcPr>
          <w:p w14:paraId="0F98C50B" w14:textId="1B7E21BB"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8"/>
                <w:szCs w:val="18"/>
                <w:lang w:eastAsia="bs-Latn-BA"/>
              </w:rPr>
              <w:t>3</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50E0BAE8" w14:textId="77777777" w:rsidR="00795D3B" w:rsidRPr="00795D3B" w:rsidRDefault="00795D3B" w:rsidP="00795D3B">
            <w:pPr>
              <w:jc w:val="center"/>
              <w:rPr>
                <w:color w:val="000000"/>
                <w:sz w:val="18"/>
                <w:szCs w:val="18"/>
                <w:lang w:val="pt-BR"/>
              </w:rPr>
            </w:pPr>
            <w:r w:rsidRPr="00795D3B">
              <w:rPr>
                <w:color w:val="000000"/>
                <w:sz w:val="18"/>
                <w:szCs w:val="18"/>
              </w:rPr>
              <w:t xml:space="preserve">JAVNO PREDUZEĆE ELEKTROPRIVREDA BOSNE I </w:t>
            </w:r>
            <w:r w:rsidRPr="00795D3B">
              <w:rPr>
                <w:color w:val="000000"/>
                <w:sz w:val="18"/>
                <w:szCs w:val="18"/>
              </w:rPr>
              <w:lastRenderedPageBreak/>
              <w:t>HERCEGOVINE D.D. - SARAJEVO</w:t>
            </w:r>
          </w:p>
          <w:p w14:paraId="60B6253E"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586F240E" w14:textId="77777777" w:rsidR="00795D3B" w:rsidRPr="00795D3B" w:rsidRDefault="00795D3B" w:rsidP="00795D3B">
            <w:pPr>
              <w:jc w:val="center"/>
              <w:rPr>
                <w:color w:val="000000"/>
                <w:sz w:val="18"/>
                <w:szCs w:val="18"/>
              </w:rPr>
            </w:pPr>
            <w:r w:rsidRPr="00795D3B">
              <w:rPr>
                <w:color w:val="000000"/>
                <w:sz w:val="18"/>
                <w:szCs w:val="18"/>
              </w:rPr>
              <w:lastRenderedPageBreak/>
              <w:t>RUDNICI MRKOG UGLJA " BANOVIĆI " DD BANOVIĆI</w:t>
            </w:r>
          </w:p>
          <w:p w14:paraId="75A34D6A"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AC71BC1" w14:textId="77777777" w:rsidR="00795D3B" w:rsidRPr="00795D3B" w:rsidRDefault="00795D3B" w:rsidP="00795D3B">
            <w:pPr>
              <w:jc w:val="center"/>
              <w:rPr>
                <w:color w:val="000000"/>
                <w:sz w:val="18"/>
                <w:szCs w:val="18"/>
                <w:lang w:val="en-US"/>
              </w:rPr>
            </w:pPr>
            <w:r w:rsidRPr="00795D3B">
              <w:rPr>
                <w:color w:val="000000"/>
                <w:sz w:val="18"/>
                <w:szCs w:val="18"/>
              </w:rPr>
              <w:lastRenderedPageBreak/>
              <w:t>81.379.720,80</w:t>
            </w:r>
          </w:p>
          <w:p w14:paraId="72CC030C" w14:textId="7220F6A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3809FD2" w14:textId="77777777" w:rsidR="00795D3B" w:rsidRPr="00795D3B" w:rsidRDefault="00795D3B" w:rsidP="00795D3B">
            <w:pPr>
              <w:jc w:val="center"/>
              <w:rPr>
                <w:color w:val="000000"/>
                <w:sz w:val="18"/>
                <w:szCs w:val="18"/>
                <w:lang w:val="en-US"/>
              </w:rPr>
            </w:pPr>
            <w:r w:rsidRPr="00795D3B">
              <w:rPr>
                <w:color w:val="000000"/>
                <w:sz w:val="18"/>
                <w:szCs w:val="18"/>
              </w:rPr>
              <w:t>Robe</w:t>
            </w:r>
          </w:p>
          <w:p w14:paraId="179DCB36"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87FF38F" w14:textId="77777777" w:rsidR="00795D3B" w:rsidRPr="00795D3B" w:rsidRDefault="00795D3B" w:rsidP="00795D3B">
            <w:pPr>
              <w:jc w:val="center"/>
              <w:rPr>
                <w:color w:val="000000"/>
                <w:sz w:val="18"/>
                <w:szCs w:val="18"/>
                <w:lang w:val="pt-BR"/>
              </w:rPr>
            </w:pPr>
            <w:r w:rsidRPr="00795D3B">
              <w:rPr>
                <w:color w:val="000000"/>
                <w:sz w:val="18"/>
                <w:szCs w:val="18"/>
              </w:rPr>
              <w:t xml:space="preserve">Pregovarački postupak bez objavljivanja </w:t>
            </w:r>
            <w:r w:rsidRPr="00795D3B">
              <w:rPr>
                <w:color w:val="000000"/>
                <w:sz w:val="18"/>
                <w:szCs w:val="18"/>
              </w:rPr>
              <w:lastRenderedPageBreak/>
              <w:t>obavještenja o nabavci</w:t>
            </w:r>
          </w:p>
          <w:p w14:paraId="1B89A72B"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FAF9E99" w14:textId="77777777" w:rsidR="00795D3B" w:rsidRPr="00795D3B" w:rsidRDefault="00795D3B" w:rsidP="00795D3B">
            <w:pPr>
              <w:jc w:val="center"/>
              <w:rPr>
                <w:color w:val="000000"/>
                <w:sz w:val="18"/>
                <w:szCs w:val="18"/>
              </w:rPr>
            </w:pPr>
            <w:r w:rsidRPr="00795D3B">
              <w:rPr>
                <w:color w:val="000000"/>
                <w:sz w:val="18"/>
                <w:szCs w:val="18"/>
              </w:rPr>
              <w:lastRenderedPageBreak/>
              <w:t xml:space="preserve">Nabavka uglja iz RMU Banovići za potrebe Termoeleketrane </w:t>
            </w:r>
            <w:r w:rsidRPr="00795D3B">
              <w:rPr>
                <w:color w:val="000000"/>
                <w:sz w:val="18"/>
                <w:szCs w:val="18"/>
              </w:rPr>
              <w:lastRenderedPageBreak/>
              <w:t>Tuzla i Termoelektrane Kakanj za 2023. godinu</w:t>
            </w:r>
          </w:p>
          <w:p w14:paraId="0ADEDA37"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95D3B" w:rsidRPr="00795D3B" w14:paraId="23332714" w14:textId="77777777" w:rsidTr="00795D3B">
        <w:trPr>
          <w:trHeight w:val="2379"/>
        </w:trPr>
        <w:tc>
          <w:tcPr>
            <w:tcW w:w="599" w:type="dxa"/>
            <w:tcBorders>
              <w:top w:val="single" w:sz="4" w:space="0" w:color="auto"/>
              <w:bottom w:val="single" w:sz="4" w:space="0" w:color="auto"/>
              <w:right w:val="single" w:sz="4" w:space="0" w:color="auto"/>
            </w:tcBorders>
            <w:shd w:val="clear" w:color="auto" w:fill="auto"/>
            <w:vAlign w:val="center"/>
          </w:tcPr>
          <w:p w14:paraId="45313CBE" w14:textId="4A03F293"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4</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0806E8C9" w14:textId="77777777" w:rsidR="00795D3B" w:rsidRPr="00795D3B" w:rsidRDefault="00795D3B" w:rsidP="00795D3B">
            <w:pPr>
              <w:jc w:val="center"/>
              <w:rPr>
                <w:color w:val="000000"/>
                <w:sz w:val="18"/>
                <w:szCs w:val="18"/>
              </w:rPr>
            </w:pPr>
            <w:r w:rsidRPr="00795D3B">
              <w:rPr>
                <w:color w:val="000000"/>
                <w:sz w:val="18"/>
                <w:szCs w:val="18"/>
              </w:rPr>
              <w:t>RUDNIK MRKOG UGLJA "KAKANJ" D.O.O. KAKANJ</w:t>
            </w:r>
          </w:p>
          <w:p w14:paraId="0D546586"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0C1D21EB" w14:textId="77777777" w:rsidR="00795D3B" w:rsidRPr="00795D3B" w:rsidRDefault="00795D3B" w:rsidP="00795D3B">
            <w:pPr>
              <w:jc w:val="center"/>
              <w:rPr>
                <w:color w:val="000000"/>
                <w:sz w:val="18"/>
                <w:szCs w:val="18"/>
                <w:lang w:val="en-US"/>
              </w:rPr>
            </w:pPr>
            <w:r w:rsidRPr="00795D3B">
              <w:rPr>
                <w:color w:val="000000"/>
                <w:sz w:val="18"/>
                <w:szCs w:val="18"/>
              </w:rPr>
              <w:t>TRGOŠPED D.O.O. KAKANJ</w:t>
            </w:r>
          </w:p>
          <w:p w14:paraId="0B5D9B10"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4AAEA81" w14:textId="77777777" w:rsidR="00795D3B" w:rsidRPr="00795D3B" w:rsidRDefault="00795D3B" w:rsidP="00795D3B">
            <w:pPr>
              <w:jc w:val="center"/>
              <w:rPr>
                <w:color w:val="000000"/>
                <w:sz w:val="18"/>
                <w:szCs w:val="18"/>
                <w:lang w:val="en-US"/>
              </w:rPr>
            </w:pPr>
            <w:r w:rsidRPr="00795D3B">
              <w:rPr>
                <w:color w:val="000000"/>
                <w:sz w:val="18"/>
                <w:szCs w:val="18"/>
              </w:rPr>
              <w:t>20.799.000,00</w:t>
            </w:r>
          </w:p>
          <w:p w14:paraId="0CF41F77" w14:textId="21A67EDD"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C67D4ED" w14:textId="7FDA7A55"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Usluge</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B93FA19" w14:textId="77777777" w:rsidR="00795D3B" w:rsidRPr="00795D3B" w:rsidRDefault="00795D3B" w:rsidP="00795D3B">
            <w:pPr>
              <w:jc w:val="center"/>
              <w:rPr>
                <w:color w:val="000000"/>
                <w:sz w:val="18"/>
                <w:szCs w:val="18"/>
                <w:lang w:val="en-US"/>
              </w:rPr>
            </w:pPr>
            <w:r w:rsidRPr="00795D3B">
              <w:rPr>
                <w:color w:val="000000"/>
                <w:sz w:val="18"/>
                <w:szCs w:val="18"/>
              </w:rPr>
              <w:t>Otvoreni postupak</w:t>
            </w:r>
          </w:p>
          <w:p w14:paraId="06604086"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38E0F3EC" w14:textId="77777777" w:rsidR="00795D3B" w:rsidRPr="00795D3B" w:rsidRDefault="00795D3B" w:rsidP="00795D3B">
            <w:pPr>
              <w:jc w:val="center"/>
              <w:rPr>
                <w:color w:val="000000"/>
                <w:sz w:val="18"/>
                <w:szCs w:val="18"/>
                <w:lang w:val="pt-BR"/>
              </w:rPr>
            </w:pPr>
            <w:r w:rsidRPr="00795D3B">
              <w:rPr>
                <w:color w:val="000000"/>
                <w:sz w:val="18"/>
                <w:szCs w:val="18"/>
              </w:rPr>
              <w:t>Nabavka usluga otkrivanja i eksploatacije uglja u Centralnom reviru na pogonu PK „Vrtlište“</w:t>
            </w:r>
          </w:p>
          <w:p w14:paraId="3597FF8A" w14:textId="76EE8E95"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95D3B" w:rsidRPr="00795D3B" w14:paraId="7660FD99" w14:textId="77777777" w:rsidTr="002C6F1F">
        <w:trPr>
          <w:trHeight w:val="195"/>
        </w:trPr>
        <w:tc>
          <w:tcPr>
            <w:tcW w:w="599" w:type="dxa"/>
            <w:tcBorders>
              <w:top w:val="single" w:sz="4" w:space="0" w:color="auto"/>
              <w:bottom w:val="single" w:sz="4" w:space="0" w:color="auto"/>
              <w:right w:val="single" w:sz="4" w:space="0" w:color="auto"/>
            </w:tcBorders>
            <w:shd w:val="clear" w:color="auto" w:fill="auto"/>
            <w:vAlign w:val="center"/>
          </w:tcPr>
          <w:p w14:paraId="5BBD8460" w14:textId="380205AC" w:rsidR="00795D3B" w:rsidRPr="00795D3B" w:rsidRDefault="00795D3B" w:rsidP="00795D3B">
            <w:pPr>
              <w:jc w:val="both"/>
              <w:rPr>
                <w:sz w:val="18"/>
                <w:szCs w:val="18"/>
                <w:lang w:eastAsia="bs-Latn-BA"/>
              </w:rPr>
            </w:pPr>
            <w:r w:rsidRPr="00795D3B">
              <w:rPr>
                <w:sz w:val="18"/>
                <w:szCs w:val="18"/>
                <w:lang w:eastAsia="bs-Latn-BA"/>
              </w:rPr>
              <w:t>5</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4F89A110" w14:textId="77777777" w:rsidR="00795D3B" w:rsidRPr="00795D3B" w:rsidRDefault="00795D3B" w:rsidP="00795D3B">
            <w:pPr>
              <w:jc w:val="center"/>
              <w:rPr>
                <w:color w:val="000000"/>
                <w:sz w:val="18"/>
                <w:szCs w:val="18"/>
              </w:rPr>
            </w:pPr>
            <w:r w:rsidRPr="00795D3B">
              <w:rPr>
                <w:color w:val="000000"/>
                <w:sz w:val="18"/>
                <w:szCs w:val="18"/>
              </w:rPr>
              <w:t>MJEŠOVITI HOLDING "ELEKTROPRIVREDA REPUBLIKE SRPSKE" - ZAVISNO PREDUZEĆE "RUDNIK I TERMOELEKTRANA UGLJEVIK" AKCIONARSKO DRUŠTVO UGLJEVIK</w:t>
            </w:r>
          </w:p>
          <w:p w14:paraId="108C4998" w14:textId="77777777" w:rsidR="00795D3B" w:rsidRPr="00795D3B" w:rsidRDefault="00795D3B" w:rsidP="00795D3B">
            <w:pPr>
              <w:jc w:val="both"/>
              <w:rPr>
                <w:color w:val="000000"/>
                <w:sz w:val="18"/>
                <w:szCs w:val="18"/>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DF4CFE8" w14:textId="77777777" w:rsidR="00795D3B" w:rsidRPr="00795D3B" w:rsidRDefault="00795D3B" w:rsidP="00795D3B">
            <w:pPr>
              <w:jc w:val="center"/>
              <w:rPr>
                <w:color w:val="000000"/>
                <w:sz w:val="18"/>
                <w:szCs w:val="18"/>
                <w:lang w:val="en-US"/>
              </w:rPr>
            </w:pPr>
            <w:r w:rsidRPr="00795D3B">
              <w:rPr>
                <w:color w:val="000000"/>
                <w:sz w:val="18"/>
                <w:szCs w:val="18"/>
              </w:rPr>
              <w:t>SUPER PETROL DOO BANJALUKA</w:t>
            </w:r>
          </w:p>
          <w:p w14:paraId="70F00337" w14:textId="77777777" w:rsidR="00795D3B" w:rsidRPr="00795D3B" w:rsidRDefault="00795D3B" w:rsidP="00795D3B">
            <w:pPr>
              <w:jc w:val="both"/>
              <w:rPr>
                <w:color w:val="00000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3D8E31A" w14:textId="77777777" w:rsidR="00795D3B" w:rsidRPr="00795D3B" w:rsidRDefault="00795D3B" w:rsidP="00795D3B">
            <w:pPr>
              <w:jc w:val="center"/>
              <w:rPr>
                <w:color w:val="000000"/>
                <w:sz w:val="18"/>
                <w:szCs w:val="18"/>
                <w:lang w:val="en-US"/>
              </w:rPr>
            </w:pPr>
            <w:r w:rsidRPr="00795D3B">
              <w:rPr>
                <w:color w:val="000000"/>
                <w:sz w:val="18"/>
                <w:szCs w:val="18"/>
              </w:rPr>
              <w:t>25.283.191,50</w:t>
            </w:r>
          </w:p>
          <w:p w14:paraId="42B83B42" w14:textId="77777777" w:rsidR="00795D3B" w:rsidRPr="00795D3B" w:rsidRDefault="00795D3B" w:rsidP="00795D3B">
            <w:pPr>
              <w:jc w:val="both"/>
              <w:rPr>
                <w:color w:val="00000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28D44F9" w14:textId="77777777" w:rsidR="00795D3B" w:rsidRPr="00795D3B" w:rsidRDefault="00795D3B" w:rsidP="00795D3B">
            <w:pPr>
              <w:jc w:val="center"/>
              <w:rPr>
                <w:color w:val="000000"/>
                <w:sz w:val="18"/>
                <w:szCs w:val="18"/>
                <w:lang w:val="en-US"/>
              </w:rPr>
            </w:pPr>
            <w:r w:rsidRPr="00795D3B">
              <w:rPr>
                <w:color w:val="000000"/>
                <w:sz w:val="18"/>
                <w:szCs w:val="18"/>
              </w:rPr>
              <w:t>Robe</w:t>
            </w:r>
          </w:p>
          <w:p w14:paraId="30C62A92" w14:textId="77777777" w:rsidR="00795D3B" w:rsidRPr="00795D3B" w:rsidRDefault="00795D3B" w:rsidP="00795D3B">
            <w:pPr>
              <w:jc w:val="both"/>
              <w:rPr>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09BC6D8" w14:textId="77777777" w:rsidR="00795D3B" w:rsidRPr="00795D3B" w:rsidRDefault="00795D3B" w:rsidP="00795D3B">
            <w:pPr>
              <w:jc w:val="center"/>
              <w:rPr>
                <w:color w:val="000000"/>
                <w:sz w:val="18"/>
                <w:szCs w:val="18"/>
                <w:lang w:val="en-US"/>
              </w:rPr>
            </w:pPr>
            <w:r w:rsidRPr="00795D3B">
              <w:rPr>
                <w:color w:val="000000"/>
                <w:sz w:val="18"/>
                <w:szCs w:val="18"/>
              </w:rPr>
              <w:t>Otvoreni postupak</w:t>
            </w:r>
          </w:p>
          <w:p w14:paraId="3D5BE37A" w14:textId="77777777" w:rsidR="00795D3B" w:rsidRPr="00795D3B" w:rsidRDefault="00795D3B" w:rsidP="00795D3B">
            <w:pPr>
              <w:jc w:val="both"/>
              <w:rPr>
                <w:color w:val="000000"/>
                <w:sz w:val="18"/>
                <w:szCs w:val="18"/>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32823C4" w14:textId="77777777" w:rsidR="00795D3B" w:rsidRPr="00795D3B" w:rsidRDefault="00795D3B" w:rsidP="00795D3B">
            <w:pPr>
              <w:jc w:val="center"/>
              <w:rPr>
                <w:color w:val="000000"/>
                <w:sz w:val="18"/>
                <w:szCs w:val="18"/>
                <w:lang w:val="en-US"/>
              </w:rPr>
            </w:pPr>
            <w:r w:rsidRPr="00795D3B">
              <w:rPr>
                <w:color w:val="000000"/>
                <w:sz w:val="18"/>
                <w:szCs w:val="18"/>
              </w:rPr>
              <w:t>T 29/22 Nabavka dizel goriva</w:t>
            </w:r>
          </w:p>
          <w:p w14:paraId="0932A141" w14:textId="77777777" w:rsidR="00795D3B" w:rsidRPr="00795D3B" w:rsidRDefault="00795D3B" w:rsidP="00795D3B">
            <w:pPr>
              <w:jc w:val="both"/>
              <w:rPr>
                <w:sz w:val="18"/>
                <w:szCs w:val="18"/>
              </w:rPr>
            </w:pPr>
          </w:p>
        </w:tc>
      </w:tr>
    </w:tbl>
    <w:p w14:paraId="72A0B7F7" w14:textId="77777777" w:rsidR="00FB50B1" w:rsidRPr="00795D3B" w:rsidRDefault="00FB50B1" w:rsidP="000C0996">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4376EB" w14:textId="77777777" w:rsidR="00060E81" w:rsidRPr="00060E81" w:rsidRDefault="00060E81" w:rsidP="00060E81">
      <w:pPr>
        <w:jc w:val="both"/>
        <w:rPr>
          <w:bCs/>
        </w:rPr>
      </w:pPr>
    </w:p>
    <w:p w14:paraId="7822AAC7" w14:textId="35690984" w:rsidR="00AE2653" w:rsidRDefault="00060E81" w:rsidP="00060E81">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0E81">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Pregled 5 dodjeljenih ugovora prema najvećoj vrijednosti stranim ponuđačima</w:t>
      </w:r>
    </w:p>
    <w:p w14:paraId="28C8F306" w14:textId="77777777" w:rsidR="00795D3B" w:rsidRDefault="00795D3B" w:rsidP="00060E81">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93"/>
        <w:gridCol w:w="1926"/>
        <w:gridCol w:w="1946"/>
        <w:gridCol w:w="1251"/>
        <w:gridCol w:w="761"/>
        <w:gridCol w:w="1017"/>
        <w:gridCol w:w="1566"/>
      </w:tblGrid>
      <w:tr w:rsidR="00795D3B" w14:paraId="191024E1" w14:textId="77777777" w:rsidTr="00950661">
        <w:tc>
          <w:tcPr>
            <w:tcW w:w="1294" w:type="dxa"/>
            <w:shd w:val="clear" w:color="000000" w:fill="C6D9F1" w:themeFill="text2" w:themeFillTint="33"/>
            <w:vAlign w:val="center"/>
          </w:tcPr>
          <w:p w14:paraId="1AB69A33" w14:textId="58AB9787"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6"/>
                <w:szCs w:val="16"/>
                <w:lang w:eastAsia="bs-Latn-BA"/>
              </w:rPr>
              <w:t>Redni broj</w:t>
            </w:r>
          </w:p>
        </w:tc>
        <w:tc>
          <w:tcPr>
            <w:tcW w:w="1294" w:type="dxa"/>
            <w:shd w:val="clear" w:color="000000" w:fill="C6D9F1" w:themeFill="text2" w:themeFillTint="33"/>
            <w:vAlign w:val="center"/>
          </w:tcPr>
          <w:p w14:paraId="6A4652FE" w14:textId="49E10A7B"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6"/>
                <w:szCs w:val="16"/>
                <w:lang w:eastAsia="bs-Latn-BA"/>
              </w:rPr>
              <w:t>Ugovorni organ</w:t>
            </w:r>
          </w:p>
        </w:tc>
        <w:tc>
          <w:tcPr>
            <w:tcW w:w="1294" w:type="dxa"/>
            <w:shd w:val="clear" w:color="000000" w:fill="C6D9F1" w:themeFill="text2" w:themeFillTint="33"/>
            <w:vAlign w:val="center"/>
          </w:tcPr>
          <w:p w14:paraId="26EACA85" w14:textId="595BF4DD"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6"/>
                <w:szCs w:val="16"/>
                <w:lang w:eastAsia="bs-Latn-BA"/>
              </w:rPr>
              <w:t>Dobavljac</w:t>
            </w:r>
          </w:p>
        </w:tc>
        <w:tc>
          <w:tcPr>
            <w:tcW w:w="1294" w:type="dxa"/>
            <w:shd w:val="clear" w:color="000000" w:fill="C6D9F1" w:themeFill="text2" w:themeFillTint="33"/>
            <w:vAlign w:val="center"/>
          </w:tcPr>
          <w:p w14:paraId="1868078B" w14:textId="37CD9681"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6"/>
                <w:szCs w:val="16"/>
                <w:lang w:eastAsia="bs-Latn-BA"/>
              </w:rPr>
              <w:t>Vrijednost ugovora (KM)</w:t>
            </w:r>
          </w:p>
        </w:tc>
        <w:tc>
          <w:tcPr>
            <w:tcW w:w="1294" w:type="dxa"/>
            <w:shd w:val="clear" w:color="000000" w:fill="C6D9F1" w:themeFill="text2" w:themeFillTint="33"/>
            <w:vAlign w:val="center"/>
          </w:tcPr>
          <w:p w14:paraId="69F60DF3" w14:textId="6513B2FF"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6"/>
                <w:szCs w:val="16"/>
                <w:lang w:eastAsia="bs-Latn-BA"/>
              </w:rPr>
              <w:t>Predmet nabavke</w:t>
            </w:r>
          </w:p>
        </w:tc>
        <w:tc>
          <w:tcPr>
            <w:tcW w:w="1295" w:type="dxa"/>
            <w:shd w:val="clear" w:color="000000" w:fill="C6D9F1" w:themeFill="text2" w:themeFillTint="33"/>
            <w:vAlign w:val="center"/>
          </w:tcPr>
          <w:p w14:paraId="1F8214CC" w14:textId="3FC6BC33"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6"/>
                <w:szCs w:val="16"/>
                <w:lang w:eastAsia="bs-Latn-BA"/>
              </w:rPr>
              <w:t>Vrsta postupka</w:t>
            </w:r>
          </w:p>
        </w:tc>
        <w:tc>
          <w:tcPr>
            <w:tcW w:w="1295" w:type="dxa"/>
            <w:shd w:val="clear" w:color="000000" w:fill="C6D9F1" w:themeFill="text2" w:themeFillTint="33"/>
            <w:vAlign w:val="center"/>
          </w:tcPr>
          <w:p w14:paraId="5C6490B4" w14:textId="462EC905" w:rsidR="00795D3B" w:rsidRPr="00795D3B" w:rsidRDefault="00795D3B" w:rsidP="00795D3B">
            <w:pPr>
              <w:jc w:val="both"/>
              <w:rPr>
                <w:bCs/>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6"/>
                <w:szCs w:val="16"/>
                <w:lang w:eastAsia="bs-Latn-BA"/>
              </w:rPr>
              <w:t>Naziv predmeta</w:t>
            </w:r>
          </w:p>
        </w:tc>
      </w:tr>
      <w:tr w:rsidR="00795D3B" w14:paraId="4B697415" w14:textId="77777777" w:rsidTr="00950661">
        <w:tc>
          <w:tcPr>
            <w:tcW w:w="1294" w:type="dxa"/>
            <w:shd w:val="clear" w:color="auto" w:fill="auto"/>
            <w:vAlign w:val="center"/>
          </w:tcPr>
          <w:p w14:paraId="1B639D43" w14:textId="0BE28C2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lang w:eastAsia="bs-Latn-BA"/>
              </w:rPr>
              <w:t>1</w:t>
            </w:r>
          </w:p>
        </w:tc>
        <w:tc>
          <w:tcPr>
            <w:tcW w:w="1294" w:type="dxa"/>
            <w:shd w:val="clear" w:color="auto" w:fill="auto"/>
            <w:vAlign w:val="center"/>
          </w:tcPr>
          <w:p w14:paraId="0D2764A6" w14:textId="77777777" w:rsidR="00795D3B" w:rsidRPr="00795D3B" w:rsidRDefault="00795D3B" w:rsidP="00795D3B">
            <w:pPr>
              <w:jc w:val="center"/>
              <w:rPr>
                <w:color w:val="000000"/>
                <w:sz w:val="18"/>
                <w:szCs w:val="18"/>
                <w:lang w:val="pt-BR"/>
              </w:rPr>
            </w:pPr>
            <w:r w:rsidRPr="00795D3B">
              <w:rPr>
                <w:color w:val="000000"/>
                <w:sz w:val="18"/>
                <w:szCs w:val="18"/>
              </w:rPr>
              <w:t>AKCIONARSKO DRUŠTVO OLIMPIJSKI CENTAR "JAHORINA" PALE</w:t>
            </w:r>
          </w:p>
          <w:p w14:paraId="5794DECB"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3B4CFBC9" w14:textId="77777777" w:rsidR="00795D3B" w:rsidRPr="00795D3B" w:rsidRDefault="00795D3B" w:rsidP="00795D3B">
            <w:pPr>
              <w:jc w:val="center"/>
              <w:rPr>
                <w:color w:val="000000"/>
                <w:sz w:val="18"/>
                <w:szCs w:val="18"/>
                <w:lang w:val="en-US"/>
              </w:rPr>
            </w:pPr>
            <w:r w:rsidRPr="00795D3B">
              <w:rPr>
                <w:color w:val="000000"/>
                <w:sz w:val="18"/>
                <w:szCs w:val="18"/>
              </w:rPr>
              <w:t>LEITNER SPA</w:t>
            </w:r>
          </w:p>
          <w:p w14:paraId="0533E838" w14:textId="136432CD"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(Italija)</w:t>
            </w:r>
          </w:p>
        </w:tc>
        <w:tc>
          <w:tcPr>
            <w:tcW w:w="1294" w:type="dxa"/>
            <w:shd w:val="clear" w:color="auto" w:fill="auto"/>
            <w:vAlign w:val="center"/>
          </w:tcPr>
          <w:p w14:paraId="05FDA1B7" w14:textId="77777777" w:rsidR="00795D3B" w:rsidRPr="00795D3B" w:rsidRDefault="00795D3B" w:rsidP="00795D3B">
            <w:pPr>
              <w:jc w:val="center"/>
              <w:rPr>
                <w:color w:val="000000"/>
                <w:sz w:val="18"/>
                <w:szCs w:val="18"/>
                <w:lang w:val="en-US"/>
              </w:rPr>
            </w:pPr>
            <w:r w:rsidRPr="00795D3B">
              <w:rPr>
                <w:color w:val="000000"/>
                <w:sz w:val="18"/>
                <w:szCs w:val="18"/>
              </w:rPr>
              <w:t>20.985.781,85</w:t>
            </w:r>
          </w:p>
          <w:p w14:paraId="336050FC"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110FA692" w14:textId="6E31A8A4"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Radovi</w:t>
            </w:r>
          </w:p>
        </w:tc>
        <w:tc>
          <w:tcPr>
            <w:tcW w:w="1295" w:type="dxa"/>
            <w:shd w:val="clear" w:color="auto" w:fill="auto"/>
            <w:vAlign w:val="center"/>
          </w:tcPr>
          <w:p w14:paraId="021FA081" w14:textId="77777777" w:rsidR="00795D3B" w:rsidRPr="00795D3B" w:rsidRDefault="00795D3B" w:rsidP="00795D3B">
            <w:pPr>
              <w:jc w:val="center"/>
              <w:rPr>
                <w:color w:val="000000"/>
                <w:sz w:val="18"/>
                <w:szCs w:val="18"/>
                <w:lang w:val="en-US"/>
              </w:rPr>
            </w:pPr>
            <w:r w:rsidRPr="00795D3B">
              <w:rPr>
                <w:color w:val="000000"/>
                <w:sz w:val="18"/>
                <w:szCs w:val="18"/>
              </w:rPr>
              <w:t>Otvoreni postupak</w:t>
            </w:r>
          </w:p>
          <w:p w14:paraId="2075EC68"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5" w:type="dxa"/>
            <w:shd w:val="clear" w:color="auto" w:fill="auto"/>
            <w:vAlign w:val="center"/>
          </w:tcPr>
          <w:p w14:paraId="66FB228D" w14:textId="125D3155"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Javna nabavka radova na izgradnji šestosjedne žičare Igrišta i prateće infrastrukture po sistemu ”ključ u ruke”</w:t>
            </w:r>
          </w:p>
        </w:tc>
      </w:tr>
      <w:tr w:rsidR="00795D3B" w14:paraId="0DABC642" w14:textId="77777777" w:rsidTr="00950661">
        <w:tc>
          <w:tcPr>
            <w:tcW w:w="1294" w:type="dxa"/>
            <w:shd w:val="clear" w:color="auto" w:fill="auto"/>
            <w:vAlign w:val="center"/>
          </w:tcPr>
          <w:p w14:paraId="279722F2" w14:textId="1C3A53C3"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lang w:eastAsia="bs-Latn-BA"/>
              </w:rPr>
              <w:t>2</w:t>
            </w:r>
          </w:p>
        </w:tc>
        <w:tc>
          <w:tcPr>
            <w:tcW w:w="1294" w:type="dxa"/>
            <w:shd w:val="clear" w:color="auto" w:fill="auto"/>
            <w:vAlign w:val="center"/>
          </w:tcPr>
          <w:p w14:paraId="04AC2E12" w14:textId="77777777" w:rsidR="00795D3B" w:rsidRPr="00795D3B" w:rsidRDefault="00795D3B" w:rsidP="00795D3B">
            <w:pPr>
              <w:jc w:val="center"/>
              <w:rPr>
                <w:color w:val="000000"/>
                <w:sz w:val="18"/>
                <w:szCs w:val="18"/>
                <w:lang w:val="pt-BR"/>
              </w:rPr>
            </w:pPr>
            <w:r w:rsidRPr="00795D3B">
              <w:rPr>
                <w:color w:val="000000"/>
                <w:sz w:val="18"/>
                <w:szCs w:val="18"/>
              </w:rPr>
              <w:t>HIDROELEKTRANA DABAR D.O.O. TREBINJE</w:t>
            </w:r>
          </w:p>
          <w:p w14:paraId="6C24652B"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5C700DED" w14:textId="77777777" w:rsidR="00795D3B" w:rsidRPr="00795D3B" w:rsidRDefault="00795D3B" w:rsidP="00795D3B">
            <w:pPr>
              <w:jc w:val="center"/>
              <w:rPr>
                <w:sz w:val="18"/>
                <w:szCs w:val="18"/>
              </w:rPr>
            </w:pPr>
            <w:r w:rsidRPr="00795D3B">
              <w:rPr>
                <w:sz w:val="18"/>
                <w:szCs w:val="18"/>
              </w:rPr>
              <w:t>ENERGOPROJEKT HIDROINŽENJERING A.D. BEOGRAD</w:t>
            </w:r>
          </w:p>
          <w:p w14:paraId="4B4A18DC" w14:textId="51D32F70"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(Srbija)</w:t>
            </w:r>
          </w:p>
        </w:tc>
        <w:tc>
          <w:tcPr>
            <w:tcW w:w="1294" w:type="dxa"/>
            <w:shd w:val="clear" w:color="auto" w:fill="auto"/>
            <w:vAlign w:val="center"/>
          </w:tcPr>
          <w:p w14:paraId="2DCFBC92" w14:textId="77777777" w:rsidR="00795D3B" w:rsidRPr="00795D3B" w:rsidRDefault="00795D3B" w:rsidP="00795D3B">
            <w:pPr>
              <w:jc w:val="center"/>
              <w:rPr>
                <w:color w:val="000000"/>
                <w:sz w:val="18"/>
                <w:szCs w:val="18"/>
                <w:lang w:val="en-US"/>
              </w:rPr>
            </w:pPr>
            <w:r w:rsidRPr="00795D3B">
              <w:rPr>
                <w:color w:val="000000"/>
                <w:sz w:val="18"/>
                <w:szCs w:val="18"/>
              </w:rPr>
              <w:t>9.998.900,00</w:t>
            </w:r>
          </w:p>
          <w:p w14:paraId="74A87BAC"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7E9D67D2" w14:textId="15820190"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Usluge</w:t>
            </w:r>
          </w:p>
        </w:tc>
        <w:tc>
          <w:tcPr>
            <w:tcW w:w="1295" w:type="dxa"/>
            <w:shd w:val="clear" w:color="auto" w:fill="auto"/>
            <w:vAlign w:val="center"/>
          </w:tcPr>
          <w:p w14:paraId="3782A098" w14:textId="77777777" w:rsidR="00795D3B" w:rsidRPr="00795D3B" w:rsidRDefault="00795D3B" w:rsidP="00795D3B">
            <w:pPr>
              <w:jc w:val="center"/>
              <w:rPr>
                <w:color w:val="000000"/>
                <w:sz w:val="18"/>
                <w:szCs w:val="18"/>
                <w:lang w:val="en-US"/>
              </w:rPr>
            </w:pPr>
            <w:r w:rsidRPr="00795D3B">
              <w:rPr>
                <w:color w:val="000000"/>
                <w:sz w:val="18"/>
                <w:szCs w:val="18"/>
              </w:rPr>
              <w:t>Ograničeni postupak</w:t>
            </w:r>
          </w:p>
          <w:p w14:paraId="77A4EAAE"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5" w:type="dxa"/>
            <w:shd w:val="clear" w:color="auto" w:fill="auto"/>
            <w:vAlign w:val="center"/>
          </w:tcPr>
          <w:p w14:paraId="0CCC1E1C" w14:textId="2957B24C"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Nabavka usluga nadzora nad realizacijom EPC Ugovora za finansiranje, projektovanje, izgradnju, proizvodnju, dostavljanje, instalaciju, ispitivanje i puštanje u pogon hidroelektrane Dabar - 159,15 MW</w:t>
            </w:r>
          </w:p>
        </w:tc>
      </w:tr>
      <w:tr w:rsidR="00795D3B" w14:paraId="077F4662" w14:textId="77777777" w:rsidTr="00950661">
        <w:tc>
          <w:tcPr>
            <w:tcW w:w="1294" w:type="dxa"/>
            <w:shd w:val="clear" w:color="auto" w:fill="auto"/>
            <w:vAlign w:val="center"/>
          </w:tcPr>
          <w:p w14:paraId="11E17A4B" w14:textId="245FE79A"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lang w:eastAsia="bs-Latn-BA"/>
              </w:rPr>
              <w:t>3</w:t>
            </w:r>
          </w:p>
        </w:tc>
        <w:tc>
          <w:tcPr>
            <w:tcW w:w="1294" w:type="dxa"/>
            <w:shd w:val="clear" w:color="auto" w:fill="auto"/>
            <w:vAlign w:val="center"/>
          </w:tcPr>
          <w:p w14:paraId="0E44B832" w14:textId="77777777" w:rsidR="00795D3B" w:rsidRPr="00795D3B" w:rsidRDefault="00795D3B" w:rsidP="00795D3B">
            <w:pPr>
              <w:jc w:val="center"/>
              <w:rPr>
                <w:color w:val="000000"/>
                <w:sz w:val="18"/>
                <w:szCs w:val="18"/>
                <w:lang w:val="pt-BR"/>
              </w:rPr>
            </w:pPr>
            <w:r w:rsidRPr="00795D3B">
              <w:rPr>
                <w:color w:val="000000"/>
                <w:sz w:val="18"/>
                <w:szCs w:val="18"/>
              </w:rPr>
              <w:t>AKCIONARSKO DRUŠTVO OLIMPIJSKI CENTAR "JAHORINA" PALE</w:t>
            </w:r>
          </w:p>
          <w:p w14:paraId="121D3816"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7D5B00F2" w14:textId="77777777" w:rsidR="00795D3B" w:rsidRPr="00795D3B" w:rsidRDefault="00795D3B" w:rsidP="00795D3B">
            <w:pPr>
              <w:jc w:val="center"/>
              <w:rPr>
                <w:color w:val="000000"/>
                <w:sz w:val="18"/>
                <w:szCs w:val="18"/>
              </w:rPr>
            </w:pPr>
            <w:r w:rsidRPr="00795D3B">
              <w:rPr>
                <w:color w:val="000000"/>
                <w:sz w:val="18"/>
                <w:szCs w:val="18"/>
              </w:rPr>
              <w:t>TECHNOALPIN- S.P.A.</w:t>
            </w:r>
          </w:p>
          <w:p w14:paraId="27403941" w14:textId="77777777" w:rsidR="00795D3B" w:rsidRPr="00795D3B" w:rsidRDefault="00795D3B" w:rsidP="00795D3B">
            <w:pPr>
              <w:jc w:val="center"/>
              <w:rPr>
                <w:color w:val="000000"/>
                <w:sz w:val="18"/>
                <w:szCs w:val="18"/>
                <w:lang w:val="en-US"/>
              </w:rPr>
            </w:pPr>
            <w:r w:rsidRPr="00795D3B">
              <w:rPr>
                <w:sz w:val="18"/>
                <w:szCs w:val="18"/>
              </w:rPr>
              <w:t>(Italija)</w:t>
            </w:r>
          </w:p>
          <w:p w14:paraId="05FD573F"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65E13778" w14:textId="77777777" w:rsidR="00795D3B" w:rsidRPr="00795D3B" w:rsidRDefault="00795D3B" w:rsidP="00795D3B">
            <w:pPr>
              <w:jc w:val="center"/>
              <w:rPr>
                <w:color w:val="000000"/>
                <w:sz w:val="18"/>
                <w:szCs w:val="18"/>
                <w:lang w:val="en-US"/>
              </w:rPr>
            </w:pPr>
            <w:r w:rsidRPr="00795D3B">
              <w:rPr>
                <w:color w:val="000000"/>
                <w:sz w:val="18"/>
                <w:szCs w:val="18"/>
              </w:rPr>
              <w:t>4.999.796,17</w:t>
            </w:r>
          </w:p>
          <w:p w14:paraId="6308C8A7"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6306946B" w14:textId="0C19F40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Radovi</w:t>
            </w:r>
          </w:p>
        </w:tc>
        <w:tc>
          <w:tcPr>
            <w:tcW w:w="1295" w:type="dxa"/>
            <w:shd w:val="clear" w:color="auto" w:fill="auto"/>
            <w:vAlign w:val="center"/>
          </w:tcPr>
          <w:p w14:paraId="5AB36691" w14:textId="77777777" w:rsidR="00795D3B" w:rsidRPr="00795D3B" w:rsidRDefault="00795D3B" w:rsidP="00795D3B">
            <w:pPr>
              <w:jc w:val="center"/>
              <w:rPr>
                <w:color w:val="000000"/>
                <w:sz w:val="18"/>
                <w:szCs w:val="18"/>
                <w:lang w:val="en-US"/>
              </w:rPr>
            </w:pPr>
            <w:r w:rsidRPr="00795D3B">
              <w:rPr>
                <w:color w:val="000000"/>
                <w:sz w:val="18"/>
                <w:szCs w:val="18"/>
              </w:rPr>
              <w:t>Otvoreni postupak</w:t>
            </w:r>
          </w:p>
          <w:p w14:paraId="0E78C057"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5" w:type="dxa"/>
            <w:shd w:val="clear" w:color="auto" w:fill="auto"/>
            <w:vAlign w:val="center"/>
          </w:tcPr>
          <w:p w14:paraId="4977798F" w14:textId="2F72A118"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Javna nabavka radova vodosnabdijevanje akumulacije skijaškog centra Igrišta</w:t>
            </w:r>
          </w:p>
        </w:tc>
      </w:tr>
      <w:tr w:rsidR="00795D3B" w14:paraId="47075596" w14:textId="77777777" w:rsidTr="00950661">
        <w:tc>
          <w:tcPr>
            <w:tcW w:w="1294" w:type="dxa"/>
            <w:shd w:val="clear" w:color="auto" w:fill="auto"/>
            <w:vAlign w:val="center"/>
          </w:tcPr>
          <w:p w14:paraId="38BBD280" w14:textId="5B9AD615"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lang w:eastAsia="bs-Latn-BA"/>
              </w:rPr>
              <w:lastRenderedPageBreak/>
              <w:t>4</w:t>
            </w:r>
          </w:p>
        </w:tc>
        <w:tc>
          <w:tcPr>
            <w:tcW w:w="1294" w:type="dxa"/>
            <w:shd w:val="clear" w:color="auto" w:fill="auto"/>
            <w:vAlign w:val="center"/>
          </w:tcPr>
          <w:p w14:paraId="5E13BE97" w14:textId="77777777" w:rsidR="00795D3B" w:rsidRPr="00795D3B" w:rsidRDefault="00795D3B" w:rsidP="00795D3B">
            <w:pPr>
              <w:jc w:val="center"/>
              <w:rPr>
                <w:color w:val="000000"/>
                <w:sz w:val="18"/>
                <w:szCs w:val="18"/>
                <w:lang w:val="en-US"/>
              </w:rPr>
            </w:pPr>
            <w:r w:rsidRPr="00795D3B">
              <w:rPr>
                <w:color w:val="000000"/>
                <w:sz w:val="18"/>
                <w:szCs w:val="18"/>
              </w:rPr>
              <w:t>TERMOELEKTRANA "TUZLA" U TUZLI</w:t>
            </w:r>
          </w:p>
          <w:p w14:paraId="18875B7C"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36839454" w14:textId="77777777" w:rsidR="00795D3B" w:rsidRPr="00795D3B" w:rsidRDefault="00795D3B" w:rsidP="00795D3B">
            <w:pPr>
              <w:jc w:val="center"/>
              <w:rPr>
                <w:color w:val="000000"/>
                <w:sz w:val="18"/>
                <w:szCs w:val="18"/>
                <w:lang w:val="en-US"/>
              </w:rPr>
            </w:pPr>
            <w:r w:rsidRPr="00795D3B">
              <w:rPr>
                <w:color w:val="000000"/>
                <w:sz w:val="18"/>
                <w:szCs w:val="18"/>
              </w:rPr>
              <w:t>ZRE KATOWICE SA</w:t>
            </w:r>
          </w:p>
          <w:p w14:paraId="1BCD5581" w14:textId="70DE1C73"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(Poljska)</w:t>
            </w:r>
          </w:p>
        </w:tc>
        <w:tc>
          <w:tcPr>
            <w:tcW w:w="1294" w:type="dxa"/>
            <w:shd w:val="clear" w:color="auto" w:fill="auto"/>
            <w:vAlign w:val="center"/>
          </w:tcPr>
          <w:p w14:paraId="13F661FD" w14:textId="77777777" w:rsidR="00795D3B" w:rsidRPr="00795D3B" w:rsidRDefault="00795D3B" w:rsidP="00795D3B">
            <w:pPr>
              <w:jc w:val="center"/>
              <w:rPr>
                <w:color w:val="000000"/>
                <w:sz w:val="18"/>
                <w:szCs w:val="18"/>
                <w:lang w:val="en-US"/>
              </w:rPr>
            </w:pPr>
            <w:r w:rsidRPr="00795D3B">
              <w:rPr>
                <w:color w:val="000000"/>
                <w:sz w:val="18"/>
                <w:szCs w:val="18"/>
              </w:rPr>
              <w:t>4.381.841,53</w:t>
            </w:r>
          </w:p>
          <w:p w14:paraId="2F55E4D8"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0D39080A" w14:textId="6E19E446"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Robe</w:t>
            </w:r>
          </w:p>
        </w:tc>
        <w:tc>
          <w:tcPr>
            <w:tcW w:w="1295" w:type="dxa"/>
            <w:shd w:val="clear" w:color="auto" w:fill="auto"/>
            <w:vAlign w:val="center"/>
          </w:tcPr>
          <w:p w14:paraId="72574890" w14:textId="77777777" w:rsidR="00795D3B" w:rsidRPr="00795D3B" w:rsidRDefault="00795D3B" w:rsidP="00795D3B">
            <w:pPr>
              <w:jc w:val="center"/>
              <w:rPr>
                <w:color w:val="000000"/>
                <w:sz w:val="18"/>
                <w:szCs w:val="18"/>
                <w:lang w:val="en-US"/>
              </w:rPr>
            </w:pPr>
            <w:r w:rsidRPr="00795D3B">
              <w:rPr>
                <w:color w:val="000000"/>
                <w:sz w:val="18"/>
                <w:szCs w:val="18"/>
              </w:rPr>
              <w:t>Otvoreni postupak</w:t>
            </w:r>
          </w:p>
          <w:p w14:paraId="5FF62BBE"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5" w:type="dxa"/>
            <w:shd w:val="clear" w:color="auto" w:fill="auto"/>
            <w:vAlign w:val="center"/>
          </w:tcPr>
          <w:p w14:paraId="1987B553" w14:textId="77777777" w:rsidR="00795D3B" w:rsidRPr="00795D3B" w:rsidRDefault="00795D3B" w:rsidP="00795D3B">
            <w:pPr>
              <w:jc w:val="center"/>
              <w:rPr>
                <w:color w:val="000000"/>
                <w:sz w:val="18"/>
                <w:szCs w:val="18"/>
                <w:lang w:val="pt-BR"/>
              </w:rPr>
            </w:pPr>
            <w:r w:rsidRPr="00795D3B">
              <w:rPr>
                <w:color w:val="000000"/>
                <w:sz w:val="18"/>
                <w:szCs w:val="18"/>
              </w:rPr>
              <w:t>Zamjena cijevi kondenzatora turbine bloka 4</w:t>
            </w:r>
          </w:p>
          <w:p w14:paraId="01F8F623"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95D3B" w14:paraId="09599C1B" w14:textId="77777777" w:rsidTr="00950661">
        <w:tc>
          <w:tcPr>
            <w:tcW w:w="1294" w:type="dxa"/>
            <w:shd w:val="clear" w:color="auto" w:fill="auto"/>
            <w:vAlign w:val="center"/>
          </w:tcPr>
          <w:p w14:paraId="7F6B3029" w14:textId="0643F21E"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i/>
                <w:iCs/>
                <w:sz w:val="18"/>
                <w:szCs w:val="18"/>
                <w:lang w:eastAsia="bs-Latn-BA"/>
              </w:rPr>
              <w:t>5</w:t>
            </w:r>
          </w:p>
        </w:tc>
        <w:tc>
          <w:tcPr>
            <w:tcW w:w="1294" w:type="dxa"/>
            <w:shd w:val="clear" w:color="auto" w:fill="auto"/>
            <w:vAlign w:val="center"/>
          </w:tcPr>
          <w:p w14:paraId="77AC2EE1" w14:textId="77777777" w:rsidR="00795D3B" w:rsidRPr="00795D3B" w:rsidRDefault="00795D3B" w:rsidP="00795D3B">
            <w:pPr>
              <w:jc w:val="center"/>
              <w:rPr>
                <w:color w:val="000000"/>
                <w:sz w:val="18"/>
                <w:szCs w:val="18"/>
                <w:lang w:val="pt-BR"/>
              </w:rPr>
            </w:pPr>
            <w:r w:rsidRPr="00795D3B">
              <w:rPr>
                <w:color w:val="000000"/>
                <w:sz w:val="18"/>
                <w:szCs w:val="18"/>
              </w:rPr>
              <w:t>AKCIONARSKO DRUŠTVO OLIMPIJSKI CENTAR "JAHORINA" PALE</w:t>
            </w:r>
          </w:p>
          <w:p w14:paraId="4E238F7A"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238F609B" w14:textId="77777777" w:rsidR="00795D3B" w:rsidRPr="00795D3B" w:rsidRDefault="00795D3B" w:rsidP="00795D3B">
            <w:pPr>
              <w:jc w:val="center"/>
              <w:rPr>
                <w:color w:val="000000"/>
                <w:sz w:val="18"/>
                <w:szCs w:val="18"/>
              </w:rPr>
            </w:pPr>
            <w:r w:rsidRPr="00795D3B">
              <w:rPr>
                <w:color w:val="000000"/>
                <w:sz w:val="18"/>
                <w:szCs w:val="18"/>
              </w:rPr>
              <w:t>TECHNOALPIN- S.P.A.</w:t>
            </w:r>
          </w:p>
          <w:p w14:paraId="4E79DF51" w14:textId="77777777" w:rsidR="00795D3B" w:rsidRPr="00795D3B" w:rsidRDefault="00795D3B" w:rsidP="00795D3B">
            <w:pPr>
              <w:jc w:val="center"/>
              <w:rPr>
                <w:color w:val="000000"/>
                <w:sz w:val="18"/>
                <w:szCs w:val="18"/>
                <w:lang w:val="en-US"/>
              </w:rPr>
            </w:pPr>
            <w:r w:rsidRPr="00795D3B">
              <w:rPr>
                <w:sz w:val="18"/>
                <w:szCs w:val="18"/>
              </w:rPr>
              <w:t>(Italija)</w:t>
            </w:r>
          </w:p>
          <w:p w14:paraId="45441B74"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34790B6E" w14:textId="77777777" w:rsidR="00795D3B" w:rsidRPr="00795D3B" w:rsidRDefault="00795D3B" w:rsidP="00795D3B">
            <w:pPr>
              <w:jc w:val="center"/>
              <w:rPr>
                <w:color w:val="000000"/>
                <w:sz w:val="18"/>
                <w:szCs w:val="18"/>
                <w:lang w:val="en-US"/>
              </w:rPr>
            </w:pPr>
            <w:r w:rsidRPr="00795D3B">
              <w:rPr>
                <w:color w:val="000000"/>
                <w:sz w:val="18"/>
                <w:szCs w:val="18"/>
              </w:rPr>
              <w:t>3.995.760,57</w:t>
            </w:r>
          </w:p>
          <w:p w14:paraId="60DE0CB4"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4" w:type="dxa"/>
            <w:shd w:val="clear" w:color="auto" w:fill="auto"/>
            <w:vAlign w:val="center"/>
          </w:tcPr>
          <w:p w14:paraId="419A2DE2" w14:textId="22B84F1C"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sz w:val="18"/>
                <w:szCs w:val="18"/>
              </w:rPr>
              <w:t>Robe</w:t>
            </w:r>
          </w:p>
        </w:tc>
        <w:tc>
          <w:tcPr>
            <w:tcW w:w="1295" w:type="dxa"/>
            <w:shd w:val="clear" w:color="auto" w:fill="auto"/>
            <w:vAlign w:val="center"/>
          </w:tcPr>
          <w:p w14:paraId="13BF97FA" w14:textId="77777777" w:rsidR="00795D3B" w:rsidRPr="00795D3B" w:rsidRDefault="00795D3B" w:rsidP="00795D3B">
            <w:pPr>
              <w:jc w:val="center"/>
              <w:rPr>
                <w:color w:val="000000"/>
                <w:sz w:val="18"/>
                <w:szCs w:val="18"/>
                <w:lang w:val="en-US"/>
              </w:rPr>
            </w:pPr>
            <w:r w:rsidRPr="00795D3B">
              <w:rPr>
                <w:color w:val="000000"/>
                <w:sz w:val="18"/>
                <w:szCs w:val="18"/>
              </w:rPr>
              <w:t>Otvoreni postupak</w:t>
            </w:r>
          </w:p>
          <w:p w14:paraId="52DEFE6F"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295" w:type="dxa"/>
            <w:shd w:val="clear" w:color="auto" w:fill="auto"/>
            <w:vAlign w:val="center"/>
          </w:tcPr>
          <w:p w14:paraId="38360B24" w14:textId="77777777" w:rsidR="00795D3B" w:rsidRPr="00795D3B" w:rsidRDefault="00795D3B" w:rsidP="00795D3B">
            <w:pPr>
              <w:jc w:val="center"/>
              <w:rPr>
                <w:color w:val="000000"/>
                <w:sz w:val="18"/>
                <w:szCs w:val="18"/>
              </w:rPr>
            </w:pPr>
            <w:r w:rsidRPr="00795D3B">
              <w:rPr>
                <w:color w:val="000000"/>
                <w:sz w:val="18"/>
                <w:szCs w:val="18"/>
              </w:rPr>
              <w:t>Javna nabavka opreme za vještačko osnježavanje</w:t>
            </w:r>
          </w:p>
          <w:p w14:paraId="4FD3BF2A" w14:textId="77777777" w:rsidR="00795D3B" w:rsidRPr="00795D3B" w:rsidRDefault="00795D3B" w:rsidP="00795D3B">
            <w:pPr>
              <w:jc w:val="both"/>
              <w:rPr>
                <w:bCs/>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27E25AAE" w14:textId="77777777" w:rsidR="00795D3B" w:rsidRPr="00060E81" w:rsidRDefault="00795D3B" w:rsidP="00060E81">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D9A49B" w14:textId="77777777" w:rsidR="00AE2653" w:rsidRPr="009833F6" w:rsidRDefault="00AE2653" w:rsidP="00AE2653">
      <w:pPr>
        <w:pStyle w:val="Heading1"/>
        <w:rPr>
          <w:b/>
          <w:bCs/>
          <w:i/>
        </w:rPr>
      </w:pPr>
      <w:bookmarkStart w:id="2" w:name="_Toc168432481"/>
      <w:r w:rsidRPr="00B965E0">
        <w:rPr>
          <w:rStyle w:val="Heading1Char"/>
        </w:rPr>
        <w:t>Istraživanje tržišta</w:t>
      </w:r>
      <w:bookmarkEnd w:id="2"/>
    </w:p>
    <w:p w14:paraId="12FE7BA2" w14:textId="77777777" w:rsidR="00AE2653" w:rsidRDefault="00AE2653" w:rsidP="009833F6">
      <w:pPr>
        <w:jc w:val="both"/>
        <w:rPr>
          <w:bCs/>
        </w:rPr>
      </w:pPr>
    </w:p>
    <w:p w14:paraId="558388EE" w14:textId="77777777" w:rsidR="009833F6" w:rsidRDefault="009833F6" w:rsidP="009833F6">
      <w:pPr>
        <w:jc w:val="both"/>
        <w:rPr>
          <w:bCs/>
        </w:rPr>
      </w:pPr>
    </w:p>
    <w:p w14:paraId="539ADB75" w14:textId="41E41D1B" w:rsidR="009833F6" w:rsidRPr="00F260D0" w:rsidRDefault="009833F6" w:rsidP="00A02A83">
      <w:pPr>
        <w:jc w:val="both"/>
        <w:rPr>
          <w:bCs/>
        </w:rPr>
      </w:pPr>
      <w:r w:rsidRPr="00F260D0">
        <w:rPr>
          <w:bCs/>
          <w:color w:val="4F81BD" w:themeColor="accent1"/>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Članom 14.a. </w:t>
      </w:r>
      <w:r w:rsidRPr="00F260D0">
        <w:rPr>
          <w:color w:val="4F81BD" w:themeColor="accent1"/>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Zakona</w:t>
      </w:r>
      <w:r w:rsidRPr="00F260D0">
        <w:rPr>
          <w:bCs/>
          <w:color w:val="4F81BD" w:themeColor="accent1"/>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260D0">
        <w:rPr>
          <w:color w:val="4F81BD" w:themeColor="accent1"/>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definisana je prethodna provjera tržišta</w:t>
      </w:r>
      <w:r w:rsidRPr="00F260D0">
        <w:rPr>
          <w:bCs/>
          <w:lang w:val="hr-HR"/>
        </w:rPr>
        <w:t xml:space="preserve">. </w:t>
      </w:r>
      <w:r w:rsidRPr="00F260D0">
        <w:rPr>
          <w:bCs/>
        </w:rPr>
        <w:t>Ugovorni organi bi pri određivanju predmeta nabavke, procjeni troškova i prije izrade kriterija za izbor ponuđača i izbor ponude u postupku nabavke trebali poznavati i razumjeti tržište. Stoga je provođenje prethodne provjere mogućnost zadovoljenja utvrđenih potreba na tržištu važan korak u fazi pripreme. Za manje ugovore obim provjere može biti ograničen, ali je i dalje koristan radi boljeg definiranja predmeta i obima ugovora.</w:t>
      </w:r>
    </w:p>
    <w:p w14:paraId="76E1E8A6" w14:textId="77777777" w:rsidR="009833F6" w:rsidRPr="00F260D0" w:rsidRDefault="009833F6" w:rsidP="00A02A83">
      <w:pPr>
        <w:jc w:val="both"/>
        <w:rPr>
          <w:b/>
          <w:bCs/>
        </w:rPr>
      </w:pPr>
      <w:r w:rsidRPr="00F260D0">
        <w:rPr>
          <w:b/>
          <w:bCs/>
        </w:rPr>
        <w:br/>
      </w:r>
      <w:r w:rsidRPr="00F260D0">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osnovu provjere tržišta ugovorni organ može:</w:t>
      </w:r>
    </w:p>
    <w:p w14:paraId="04CFF4DE" w14:textId="77777777" w:rsidR="009833F6" w:rsidRPr="00F260D0" w:rsidRDefault="009833F6" w:rsidP="00A02A83">
      <w:pPr>
        <w:jc w:val="both"/>
        <w:rPr>
          <w:b/>
          <w:bCs/>
        </w:rPr>
      </w:pPr>
    </w:p>
    <w:p w14:paraId="53A71DA4" w14:textId="77777777" w:rsidR="009833F6" w:rsidRPr="00F260D0" w:rsidRDefault="009833F6" w:rsidP="00A02A83">
      <w:pPr>
        <w:jc w:val="both"/>
        <w:rPr>
          <w:bCs/>
        </w:rPr>
      </w:pPr>
      <w:r w:rsidRPr="00F260D0">
        <w:rPr>
          <w:bCs/>
        </w:rPr>
        <w:t>- steći prethodno znanje i razumijevanje potencijalnih dostupnih rješenja za zadovoljenje potreba,</w:t>
      </w:r>
      <w:r w:rsidRPr="00F260D0">
        <w:rPr>
          <w:bCs/>
        </w:rPr>
        <w:br/>
        <w:t>- dodatno se usmjeriti te definisati predmet i vrijednost ugovora,</w:t>
      </w:r>
    </w:p>
    <w:p w14:paraId="4D2907CD" w14:textId="77777777" w:rsidR="009833F6" w:rsidRPr="00F260D0" w:rsidRDefault="009833F6" w:rsidP="00A02A83">
      <w:pPr>
        <w:jc w:val="both"/>
        <w:rPr>
          <w:bCs/>
        </w:rPr>
      </w:pPr>
      <w:r w:rsidRPr="00F260D0">
        <w:rPr>
          <w:bCs/>
        </w:rPr>
        <w:t>- primijeniti načelo dobrog financijskog upravljanja i postići najbolju vrijednost za novac.</w:t>
      </w:r>
    </w:p>
    <w:p w14:paraId="3A1D1A8A" w14:textId="77777777" w:rsidR="009833F6" w:rsidRPr="00F260D0" w:rsidRDefault="009833F6" w:rsidP="00A02A83">
      <w:pPr>
        <w:jc w:val="both"/>
        <w:rPr>
          <w:bCs/>
        </w:rPr>
      </w:pPr>
    </w:p>
    <w:p w14:paraId="098FFC86" w14:textId="77777777" w:rsidR="009833F6" w:rsidRPr="00F260D0" w:rsidRDefault="009833F6" w:rsidP="00A02A83">
      <w:pPr>
        <w:jc w:val="both"/>
        <w:rPr>
          <w:bCs/>
        </w:rPr>
      </w:pPr>
      <w:r w:rsidRPr="00F260D0">
        <w:rPr>
          <w:bCs/>
        </w:rPr>
        <w:t>Ugovornim organima svakako se preporučuje da prethodnu provjeru tržišta provedu kad planiraju pregovarački postupak bez prethodne objave za ugovor koji se može dodijeliti samo jednom konkretnom privrednom subjektu.</w:t>
      </w:r>
    </w:p>
    <w:p w14:paraId="73D752BB" w14:textId="77777777" w:rsidR="009833F6" w:rsidRPr="00F260D0" w:rsidRDefault="009833F6" w:rsidP="00A02A83">
      <w:pPr>
        <w:jc w:val="both"/>
        <w:rPr>
          <w:bCs/>
        </w:rPr>
      </w:pPr>
    </w:p>
    <w:p w14:paraId="268DB6AA" w14:textId="77777777" w:rsidR="009833F6" w:rsidRPr="00F260D0" w:rsidRDefault="009833F6" w:rsidP="00A02A83">
      <w:pPr>
        <w:jc w:val="both"/>
        <w:rPr>
          <w:bCs/>
        </w:rPr>
      </w:pPr>
      <w:r w:rsidRPr="00F260D0">
        <w:rPr>
          <w:bCs/>
        </w:rPr>
        <w:t>Kao opšte pravilo i neovisno o odabranoj metodi, sve se inicijative povezane s prethodnom provjerom tržišta trebaju primjereno dokumentirati i zabilježiti u pisanom obliku za svaki postupak nabavke. Time se osigurava transparentnost i mogućnost provođenja revizije.</w:t>
      </w:r>
    </w:p>
    <w:p w14:paraId="25A54C6F" w14:textId="77777777" w:rsidR="009833F6" w:rsidRPr="00F260D0" w:rsidRDefault="009833F6" w:rsidP="00A02A83">
      <w:pPr>
        <w:jc w:val="both"/>
        <w:rPr>
          <w:bCs/>
        </w:rPr>
      </w:pPr>
    </w:p>
    <w:p w14:paraId="51720C66" w14:textId="08F8542B" w:rsidR="009833F6" w:rsidRPr="00F260D0" w:rsidRDefault="009833F6" w:rsidP="00F260D0">
      <w:pPr>
        <w:jc w:val="both"/>
      </w:pPr>
      <w:r w:rsidRPr="00F260D0">
        <w:rPr>
          <w:bCs/>
        </w:rPr>
        <w:t>Kad je riječ o planiranju, dobra praksa pokazuje da istraživanje tržišta koje se provede znatno prije objave obaviještenja o nabavci može biti iznimno korisno. Nadalje, tržište pozitivno reaguje na</w:t>
      </w:r>
      <w:r w:rsidR="00F260D0" w:rsidRPr="00F260D0">
        <w:rPr>
          <w:bCs/>
        </w:rPr>
        <w:t xml:space="preserve"> </w:t>
      </w:r>
      <w:r w:rsidRPr="00F260D0">
        <w:rPr>
          <w:bCs/>
        </w:rPr>
        <w:t>oglašavanje otvorenog dijaloga prije pokretanja postupka nabavke, objavljivanjem prethodnog</w:t>
      </w:r>
      <w:r w:rsidR="00F260D0" w:rsidRPr="00F260D0">
        <w:rPr>
          <w:bCs/>
        </w:rPr>
        <w:t xml:space="preserve"> </w:t>
      </w:r>
      <w:r w:rsidRPr="00F260D0">
        <w:rPr>
          <w:bCs/>
        </w:rPr>
        <w:t xml:space="preserve">informacijskog obavještenja na Portalu javnih nabavki i to dovodi do pripreme kvalitetnije tenderske </w:t>
      </w:r>
      <w:r w:rsidRPr="00F260D0">
        <w:rPr>
          <w:rStyle w:val="Style2Char"/>
        </w:rPr>
        <w:t>dokumentacije</w:t>
      </w:r>
      <w:r w:rsidR="006661CD" w:rsidRPr="00F260D0">
        <w:rPr>
          <w:rStyle w:val="Style2Char"/>
        </w:rPr>
        <w:t xml:space="preserve"> </w:t>
      </w:r>
      <w:r w:rsidRPr="00F260D0">
        <w:rPr>
          <w:rStyle w:val="Style2Char"/>
        </w:rPr>
        <w:t>kao i ponuda, te smanjuje rizik od žalbi u kasnijoj fazi.</w:t>
      </w:r>
      <w:r w:rsidRPr="00F260D0">
        <w:rPr>
          <w:rStyle w:val="Style2Char"/>
        </w:rPr>
        <w:br/>
      </w:r>
    </w:p>
    <w:p w14:paraId="1F52893C" w14:textId="77777777" w:rsidR="009833F6" w:rsidRPr="00F260D0" w:rsidRDefault="009833F6" w:rsidP="00A02A83">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60D0">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Postoje dvije vrste provjere tržišta:</w:t>
      </w:r>
    </w:p>
    <w:p w14:paraId="2935BB55" w14:textId="77777777" w:rsidR="009833F6" w:rsidRPr="00F260D0" w:rsidRDefault="009833F6" w:rsidP="00A02A83">
      <w:pPr>
        <w:jc w:val="both"/>
        <w:rPr>
          <w:b/>
          <w:bCs/>
        </w:rPr>
      </w:pPr>
    </w:p>
    <w:p w14:paraId="3C679704" w14:textId="77777777" w:rsidR="009833F6" w:rsidRPr="00F260D0" w:rsidRDefault="009833F6" w:rsidP="00A02A83">
      <w:pPr>
        <w:numPr>
          <w:ilvl w:val="0"/>
          <w:numId w:val="26"/>
        </w:numPr>
        <w:jc w:val="both"/>
        <w:rPr>
          <w:bCs/>
        </w:rPr>
      </w:pPr>
      <w:r w:rsidRPr="00F260D0">
        <w:rPr>
          <w:bCs/>
        </w:rPr>
        <w:t>istraživanje tržišta,</w:t>
      </w:r>
    </w:p>
    <w:p w14:paraId="6D195495" w14:textId="77777777" w:rsidR="009833F6" w:rsidRPr="00F260D0" w:rsidRDefault="009833F6" w:rsidP="00A02A83">
      <w:pPr>
        <w:numPr>
          <w:ilvl w:val="0"/>
          <w:numId w:val="26"/>
        </w:numPr>
        <w:jc w:val="both"/>
        <w:rPr>
          <w:bCs/>
        </w:rPr>
      </w:pPr>
      <w:r w:rsidRPr="00F260D0">
        <w:rPr>
          <w:bCs/>
        </w:rPr>
        <w:t>prethodno savjetovanje o tržištu koje uključuje kandidate ili ponuđače.</w:t>
      </w:r>
    </w:p>
    <w:p w14:paraId="7FCEDA0D" w14:textId="77777777" w:rsidR="009833F6" w:rsidRPr="00F260D0" w:rsidRDefault="009833F6" w:rsidP="00A02A83">
      <w:pPr>
        <w:jc w:val="both"/>
        <w:rPr>
          <w:bCs/>
        </w:rPr>
      </w:pPr>
    </w:p>
    <w:p w14:paraId="3D9023BA" w14:textId="77777777" w:rsidR="009833F6" w:rsidRPr="00F260D0" w:rsidRDefault="009833F6" w:rsidP="00A02A83">
      <w:pPr>
        <w:jc w:val="both"/>
        <w:rPr>
          <w:bCs/>
        </w:rPr>
      </w:pPr>
      <w:r w:rsidRPr="00F260D0">
        <w:rPr>
          <w:bCs/>
        </w:rPr>
        <w:t>Obim i dubina provjere tržišta ovisit će o prirodi i veličini nabavke. Uredsko istraživanje radi pojašnjenja strukture tržišta, utvrđivanja aktivnih privrednih subjekata i razumijevanja cijena može biti odgovarajući pristup za standardne postupke nabavke.</w:t>
      </w:r>
    </w:p>
    <w:p w14:paraId="7B18F1B5" w14:textId="77777777" w:rsidR="00AE2653" w:rsidRPr="00F260D0" w:rsidRDefault="00AE2653" w:rsidP="00A02A83">
      <w:pPr>
        <w:jc w:val="both"/>
        <w:rPr>
          <w:bCs/>
        </w:rPr>
      </w:pPr>
    </w:p>
    <w:p w14:paraId="6BAF82E0" w14:textId="5E80038D" w:rsidR="009833F6" w:rsidRPr="00F260D0" w:rsidRDefault="009833F6" w:rsidP="00A02A83">
      <w:pPr>
        <w:jc w:val="both"/>
        <w:rPr>
          <w:bCs/>
        </w:rPr>
      </w:pPr>
      <w:r w:rsidRPr="00F260D0">
        <w:rPr>
          <w:bCs/>
        </w:rPr>
        <w:lastRenderedPageBreak/>
        <w:t>Najčešća metoda provjere tržišta prije pripreme postupka nabavke odnosi se na uredsko istraživanje koje se može provesti upotrebom internih resursa ugovornog organa. Sastoji se od prikupljanja informacija, uglavnom s interneta ili kontaktiranjem s relevantnim osobama poštom ili telefonom.</w:t>
      </w:r>
    </w:p>
    <w:p w14:paraId="473CA97C" w14:textId="77777777" w:rsidR="009833F6" w:rsidRPr="00F260D0" w:rsidRDefault="009833F6" w:rsidP="00A02A83">
      <w:pPr>
        <w:jc w:val="both"/>
        <w:rPr>
          <w:bCs/>
        </w:rPr>
      </w:pPr>
      <w:r w:rsidRPr="00F260D0">
        <w:rPr>
          <w:bCs/>
        </w:rPr>
        <w:br/>
        <w:t>Uredskim istraživanjem tržišta mogu se dobiti informacije o raspoloživosti proizvoda ili usluga koje su u skladu s potrebama ugovornog organa. Ugovorni organ zatim može odrediti najprimjereniji pristup nabavci bez prevelikog ulaganja vremena ili resursa.</w:t>
      </w:r>
    </w:p>
    <w:p w14:paraId="7D3ED947" w14:textId="77777777" w:rsidR="009833F6" w:rsidRPr="00F260D0" w:rsidRDefault="009833F6" w:rsidP="00A02A83">
      <w:pPr>
        <w:jc w:val="both"/>
        <w:rPr>
          <w:b/>
          <w:bCs/>
        </w:rPr>
      </w:pPr>
      <w:r w:rsidRPr="00F260D0">
        <w:rPr>
          <w:b/>
          <w:bCs/>
        </w:rPr>
        <w:br/>
      </w:r>
      <w:r w:rsidRPr="00F260D0">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Izvori informacija koji se često upotrebljavaju:</w:t>
      </w:r>
    </w:p>
    <w:p w14:paraId="47701E20" w14:textId="77777777" w:rsidR="009833F6" w:rsidRPr="00F260D0" w:rsidRDefault="009833F6" w:rsidP="00A02A83">
      <w:pPr>
        <w:jc w:val="both"/>
        <w:rPr>
          <w:b/>
          <w:bCs/>
        </w:rPr>
      </w:pPr>
    </w:p>
    <w:p w14:paraId="6F2273D3" w14:textId="77777777" w:rsidR="009833F6" w:rsidRPr="00F260D0" w:rsidRDefault="009833F6" w:rsidP="00A02A83">
      <w:pPr>
        <w:jc w:val="both"/>
        <w:rPr>
          <w:bCs/>
        </w:rPr>
      </w:pPr>
      <w:r w:rsidRPr="00F260D0">
        <w:rPr>
          <w:bCs/>
        </w:rPr>
        <w:t>- interne poslovne jedinice koje se bave predmetom nabavke,</w:t>
      </w:r>
    </w:p>
    <w:p w14:paraId="17C24962" w14:textId="77777777" w:rsidR="009833F6" w:rsidRPr="00F260D0" w:rsidRDefault="009833F6" w:rsidP="00A02A83">
      <w:pPr>
        <w:jc w:val="both"/>
        <w:rPr>
          <w:bCs/>
        </w:rPr>
      </w:pPr>
      <w:r w:rsidRPr="00F260D0">
        <w:rPr>
          <w:bCs/>
        </w:rPr>
        <w:t>- katalozi proizvođača, distributera, prodavača,</w:t>
      </w:r>
    </w:p>
    <w:p w14:paraId="13860574" w14:textId="77777777" w:rsidR="009833F6" w:rsidRPr="00F260D0" w:rsidRDefault="009833F6" w:rsidP="00A02A83">
      <w:pPr>
        <w:jc w:val="both"/>
        <w:rPr>
          <w:bCs/>
        </w:rPr>
      </w:pPr>
      <w:r w:rsidRPr="00F260D0">
        <w:rPr>
          <w:bCs/>
        </w:rPr>
        <w:t>- štampane publikacije (specijalizirani listovi, časopisi,bilteni itd.),</w:t>
      </w:r>
    </w:p>
    <w:p w14:paraId="178BE63F" w14:textId="77777777" w:rsidR="009833F6" w:rsidRPr="00F260D0" w:rsidRDefault="009833F6" w:rsidP="00A02A83">
      <w:pPr>
        <w:jc w:val="both"/>
        <w:rPr>
          <w:bCs/>
        </w:rPr>
      </w:pPr>
      <w:r w:rsidRPr="00F260D0">
        <w:rPr>
          <w:bCs/>
        </w:rPr>
        <w:t>- privredne komore, poslovne organizacije ili trgovačka udruženja,</w:t>
      </w:r>
    </w:p>
    <w:p w14:paraId="6D0CADB7" w14:textId="77777777" w:rsidR="009833F6" w:rsidRPr="00F260D0" w:rsidRDefault="009833F6" w:rsidP="00A02A83">
      <w:pPr>
        <w:jc w:val="both"/>
        <w:rPr>
          <w:bCs/>
        </w:rPr>
      </w:pPr>
      <w:r w:rsidRPr="00F260D0">
        <w:rPr>
          <w:bCs/>
        </w:rPr>
        <w:t>- postojeća istraživanja tržišta</w:t>
      </w:r>
    </w:p>
    <w:p w14:paraId="1A71337A" w14:textId="77777777" w:rsidR="009833F6" w:rsidRPr="00F260D0" w:rsidRDefault="009833F6" w:rsidP="00A02A83">
      <w:pPr>
        <w:jc w:val="both"/>
        <w:rPr>
          <w:bCs/>
        </w:rPr>
      </w:pPr>
    </w:p>
    <w:p w14:paraId="03D09BAD" w14:textId="77777777" w:rsidR="009833F6" w:rsidRPr="00F260D0" w:rsidRDefault="009833F6" w:rsidP="00A02A83">
      <w:pPr>
        <w:jc w:val="both"/>
        <w:rPr>
          <w:bCs/>
        </w:rPr>
      </w:pPr>
      <w:r w:rsidRPr="00F260D0">
        <w:rPr>
          <w:bCs/>
        </w:rPr>
        <w:t>Ugovorni organi trebali bi provjerirati te različite izvore informacija primjenom kriterija koji se navode kao primjeri dobre prakse.</w:t>
      </w:r>
    </w:p>
    <w:p w14:paraId="74F0F2D8" w14:textId="77777777" w:rsidR="009833F6" w:rsidRPr="00A02A83" w:rsidRDefault="009833F6" w:rsidP="00A02A83">
      <w:pPr>
        <w:jc w:val="both"/>
        <w:rPr>
          <w:bCs/>
          <w:sz w:val="22"/>
          <w:szCs w:val="22"/>
        </w:rPr>
      </w:pPr>
    </w:p>
    <w:tbl>
      <w:tblPr>
        <w:tblStyle w:val="TableGrid"/>
        <w:tblW w:w="9215" w:type="dxa"/>
        <w:tblLook w:val="04A0" w:firstRow="1" w:lastRow="0" w:firstColumn="1" w:lastColumn="0" w:noHBand="0" w:noVBand="1"/>
      </w:tblPr>
      <w:tblGrid>
        <w:gridCol w:w="2861"/>
        <w:gridCol w:w="6354"/>
      </w:tblGrid>
      <w:tr w:rsidR="009833F6" w:rsidRPr="00A02A83" w14:paraId="1A4959A0" w14:textId="77777777" w:rsidTr="006661CD">
        <w:trPr>
          <w:trHeight w:val="243"/>
        </w:trPr>
        <w:tc>
          <w:tcPr>
            <w:tcW w:w="2861" w:type="dxa"/>
          </w:tcPr>
          <w:p w14:paraId="5AA12EBF" w14:textId="77777777" w:rsidR="009833F6" w:rsidRPr="00A02A83" w:rsidRDefault="009833F6" w:rsidP="00A02A83">
            <w:pPr>
              <w:jc w:val="both"/>
              <w:rPr>
                <w:bCs/>
                <w:sz w:val="22"/>
                <w:szCs w:val="22"/>
              </w:rPr>
            </w:pPr>
            <w:r w:rsidRPr="00A02A83">
              <w:rPr>
                <w:bCs/>
                <w:sz w:val="22"/>
                <w:szCs w:val="22"/>
              </w:rPr>
              <w:t>Kategorije analize</w:t>
            </w:r>
          </w:p>
        </w:tc>
        <w:tc>
          <w:tcPr>
            <w:tcW w:w="6354" w:type="dxa"/>
          </w:tcPr>
          <w:p w14:paraId="748B2CFA" w14:textId="77777777" w:rsidR="009833F6" w:rsidRPr="00A02A83" w:rsidRDefault="009833F6" w:rsidP="00A02A83">
            <w:pPr>
              <w:jc w:val="both"/>
              <w:rPr>
                <w:bCs/>
                <w:sz w:val="22"/>
                <w:szCs w:val="22"/>
              </w:rPr>
            </w:pPr>
            <w:r w:rsidRPr="00A02A83">
              <w:rPr>
                <w:bCs/>
                <w:sz w:val="22"/>
                <w:szCs w:val="22"/>
              </w:rPr>
              <w:t>Podaci i informacije</w:t>
            </w:r>
          </w:p>
        </w:tc>
      </w:tr>
      <w:tr w:rsidR="009833F6" w:rsidRPr="00A02A83" w14:paraId="735CF5FA" w14:textId="77777777" w:rsidTr="006661CD">
        <w:trPr>
          <w:trHeight w:val="488"/>
        </w:trPr>
        <w:tc>
          <w:tcPr>
            <w:tcW w:w="2861" w:type="dxa"/>
          </w:tcPr>
          <w:p w14:paraId="0B000AB2" w14:textId="77777777" w:rsidR="009833F6" w:rsidRPr="00A02A83" w:rsidRDefault="009833F6" w:rsidP="00A02A83">
            <w:pPr>
              <w:jc w:val="both"/>
              <w:rPr>
                <w:bCs/>
                <w:sz w:val="22"/>
                <w:szCs w:val="22"/>
              </w:rPr>
            </w:pPr>
            <w:r w:rsidRPr="00A02A83">
              <w:rPr>
                <w:bCs/>
                <w:sz w:val="22"/>
                <w:szCs w:val="22"/>
              </w:rPr>
              <w:t>Zrelost tržišta</w:t>
            </w:r>
          </w:p>
        </w:tc>
        <w:tc>
          <w:tcPr>
            <w:tcW w:w="6354" w:type="dxa"/>
          </w:tcPr>
          <w:p w14:paraId="1BA711A7" w14:textId="77777777" w:rsidR="009833F6" w:rsidRPr="00A02A83" w:rsidRDefault="009833F6" w:rsidP="00A02A83">
            <w:pPr>
              <w:jc w:val="both"/>
              <w:rPr>
                <w:bCs/>
                <w:sz w:val="22"/>
                <w:szCs w:val="22"/>
              </w:rPr>
            </w:pPr>
            <w:r w:rsidRPr="00A02A83">
              <w:rPr>
                <w:bCs/>
                <w:sz w:val="22"/>
                <w:szCs w:val="22"/>
              </w:rPr>
              <w:t>Etablirano tržište, tržište u razvoju, postojanje dovoljnog broja dobavljača kako bi se osiguralo učinkovito tržišno natjecanje</w:t>
            </w:r>
          </w:p>
        </w:tc>
      </w:tr>
      <w:tr w:rsidR="009833F6" w:rsidRPr="00A02A83" w14:paraId="7817AF78" w14:textId="77777777" w:rsidTr="006661CD">
        <w:trPr>
          <w:trHeight w:val="488"/>
        </w:trPr>
        <w:tc>
          <w:tcPr>
            <w:tcW w:w="2861" w:type="dxa"/>
          </w:tcPr>
          <w:p w14:paraId="50556E82" w14:textId="77777777" w:rsidR="009833F6" w:rsidRPr="00A02A83" w:rsidRDefault="009833F6" w:rsidP="00A02A83">
            <w:pPr>
              <w:jc w:val="both"/>
              <w:rPr>
                <w:bCs/>
                <w:sz w:val="22"/>
                <w:szCs w:val="22"/>
              </w:rPr>
            </w:pPr>
            <w:r w:rsidRPr="00A02A83">
              <w:rPr>
                <w:bCs/>
                <w:sz w:val="22"/>
                <w:szCs w:val="22"/>
              </w:rPr>
              <w:t>Kapacitet tržišta da isporuči traženo</w:t>
            </w:r>
          </w:p>
        </w:tc>
        <w:tc>
          <w:tcPr>
            <w:tcW w:w="6354" w:type="dxa"/>
          </w:tcPr>
          <w:p w14:paraId="787D4046" w14:textId="77777777" w:rsidR="009833F6" w:rsidRPr="00A02A83" w:rsidRDefault="009833F6" w:rsidP="00A02A83">
            <w:pPr>
              <w:jc w:val="both"/>
              <w:rPr>
                <w:bCs/>
                <w:sz w:val="22"/>
                <w:szCs w:val="22"/>
              </w:rPr>
            </w:pPr>
            <w:r w:rsidRPr="00A02A83">
              <w:rPr>
                <w:bCs/>
                <w:sz w:val="22"/>
                <w:szCs w:val="22"/>
              </w:rPr>
              <w:t>U traženom vremenu, u traženom razmjeru, u okviru raspoloživog budžeta</w:t>
            </w:r>
          </w:p>
        </w:tc>
      </w:tr>
      <w:tr w:rsidR="009833F6" w:rsidRPr="00A02A83" w14:paraId="0C88FD19" w14:textId="77777777" w:rsidTr="006661CD">
        <w:trPr>
          <w:trHeight w:val="745"/>
        </w:trPr>
        <w:tc>
          <w:tcPr>
            <w:tcW w:w="2861" w:type="dxa"/>
          </w:tcPr>
          <w:p w14:paraId="3FB37A1E" w14:textId="77777777" w:rsidR="009833F6" w:rsidRPr="00A02A83" w:rsidRDefault="009833F6" w:rsidP="00A02A83">
            <w:pPr>
              <w:jc w:val="both"/>
              <w:rPr>
                <w:bCs/>
                <w:sz w:val="22"/>
                <w:szCs w:val="22"/>
              </w:rPr>
            </w:pPr>
            <w:r w:rsidRPr="00A02A83">
              <w:rPr>
                <w:bCs/>
                <w:sz w:val="22"/>
                <w:szCs w:val="22"/>
              </w:rPr>
              <w:t>Standardi i uslovi</w:t>
            </w:r>
          </w:p>
        </w:tc>
        <w:tc>
          <w:tcPr>
            <w:tcW w:w="6354" w:type="dxa"/>
          </w:tcPr>
          <w:p w14:paraId="63609D8C" w14:textId="77777777" w:rsidR="009833F6" w:rsidRPr="00A02A83" w:rsidRDefault="009833F6" w:rsidP="00A02A83">
            <w:pPr>
              <w:jc w:val="both"/>
              <w:rPr>
                <w:bCs/>
                <w:sz w:val="22"/>
                <w:szCs w:val="22"/>
              </w:rPr>
            </w:pPr>
            <w:r w:rsidRPr="00A02A83">
              <w:rPr>
                <w:bCs/>
                <w:sz w:val="22"/>
                <w:szCs w:val="22"/>
              </w:rPr>
              <w:t>Uslovi koji se obično primjenjuju na slične ugovore, potencijalna ograničenja tržišta, kapacitet privrednih subjekata da ispune određene standarde.</w:t>
            </w:r>
          </w:p>
        </w:tc>
      </w:tr>
      <w:tr w:rsidR="009833F6" w:rsidRPr="00A02A83" w14:paraId="067DAD0F" w14:textId="77777777" w:rsidTr="006661CD">
        <w:trPr>
          <w:trHeight w:val="732"/>
        </w:trPr>
        <w:tc>
          <w:tcPr>
            <w:tcW w:w="2861" w:type="dxa"/>
          </w:tcPr>
          <w:p w14:paraId="7E625782" w14:textId="77777777" w:rsidR="009833F6" w:rsidRPr="00A02A83" w:rsidRDefault="009833F6" w:rsidP="00A02A83">
            <w:pPr>
              <w:jc w:val="both"/>
              <w:rPr>
                <w:bCs/>
                <w:sz w:val="22"/>
                <w:szCs w:val="22"/>
              </w:rPr>
            </w:pPr>
            <w:r w:rsidRPr="00A02A83">
              <w:rPr>
                <w:bCs/>
                <w:sz w:val="22"/>
                <w:szCs w:val="22"/>
              </w:rPr>
              <w:t>Vrijednost ugovora</w:t>
            </w:r>
          </w:p>
        </w:tc>
        <w:tc>
          <w:tcPr>
            <w:tcW w:w="6354" w:type="dxa"/>
          </w:tcPr>
          <w:p w14:paraId="1DC4159B" w14:textId="77777777" w:rsidR="009833F6" w:rsidRPr="00A02A83" w:rsidRDefault="009833F6" w:rsidP="00A02A83">
            <w:pPr>
              <w:jc w:val="both"/>
              <w:rPr>
                <w:bCs/>
                <w:sz w:val="22"/>
                <w:szCs w:val="22"/>
              </w:rPr>
            </w:pPr>
            <w:r w:rsidRPr="00A02A83">
              <w:rPr>
                <w:bCs/>
                <w:sz w:val="22"/>
                <w:szCs w:val="22"/>
              </w:rPr>
              <w:t>Nedavne tržišne cijene, struktura cijena, razvrstavanje troškova za slične ugovore, fiksni i varijabilni troškovi u okviru sličnog budžeta</w:t>
            </w:r>
          </w:p>
        </w:tc>
      </w:tr>
      <w:tr w:rsidR="009833F6" w:rsidRPr="00A02A83" w14:paraId="5E479F71" w14:textId="77777777" w:rsidTr="006661CD">
        <w:trPr>
          <w:trHeight w:val="745"/>
        </w:trPr>
        <w:tc>
          <w:tcPr>
            <w:tcW w:w="2861" w:type="dxa"/>
          </w:tcPr>
          <w:p w14:paraId="1E64D272" w14:textId="77777777" w:rsidR="009833F6" w:rsidRPr="00A02A83" w:rsidRDefault="009833F6" w:rsidP="00A02A83">
            <w:pPr>
              <w:jc w:val="both"/>
              <w:rPr>
                <w:bCs/>
                <w:sz w:val="22"/>
                <w:szCs w:val="22"/>
              </w:rPr>
            </w:pPr>
            <w:r w:rsidRPr="00A02A83">
              <w:rPr>
                <w:bCs/>
                <w:sz w:val="22"/>
                <w:szCs w:val="22"/>
              </w:rPr>
              <w:t>Kriteriji za odabir gospodarskog subjekta i kriteriji za odabir ponude</w:t>
            </w:r>
          </w:p>
        </w:tc>
        <w:tc>
          <w:tcPr>
            <w:tcW w:w="6354" w:type="dxa"/>
          </w:tcPr>
          <w:p w14:paraId="1CEA2985" w14:textId="77777777" w:rsidR="009833F6" w:rsidRPr="00A02A83" w:rsidRDefault="009833F6" w:rsidP="00A02A83">
            <w:pPr>
              <w:jc w:val="both"/>
              <w:rPr>
                <w:bCs/>
                <w:sz w:val="22"/>
                <w:szCs w:val="22"/>
              </w:rPr>
            </w:pPr>
            <w:r w:rsidRPr="00A02A83">
              <w:rPr>
                <w:bCs/>
                <w:sz w:val="22"/>
                <w:szCs w:val="22"/>
              </w:rPr>
              <w:t>Minimalni zahtjevi u sličnim ugovorima, relevantna razmatranja u pogledu kvalitete, naučeno iz sličnih iskustava.</w:t>
            </w:r>
          </w:p>
        </w:tc>
      </w:tr>
      <w:tr w:rsidR="009833F6" w:rsidRPr="00A02A83" w14:paraId="6945886C" w14:textId="77777777" w:rsidTr="006661CD">
        <w:trPr>
          <w:trHeight w:val="209"/>
        </w:trPr>
        <w:tc>
          <w:tcPr>
            <w:tcW w:w="2861" w:type="dxa"/>
          </w:tcPr>
          <w:p w14:paraId="7CBCA0DE" w14:textId="77777777" w:rsidR="009833F6" w:rsidRPr="00A02A83" w:rsidRDefault="009833F6" w:rsidP="00A02A83">
            <w:pPr>
              <w:jc w:val="both"/>
              <w:rPr>
                <w:bCs/>
                <w:sz w:val="22"/>
                <w:szCs w:val="22"/>
              </w:rPr>
            </w:pPr>
            <w:r w:rsidRPr="00A02A83">
              <w:rPr>
                <w:bCs/>
                <w:sz w:val="22"/>
                <w:szCs w:val="22"/>
              </w:rPr>
              <w:t>Izvršenje ugovora</w:t>
            </w:r>
          </w:p>
        </w:tc>
        <w:tc>
          <w:tcPr>
            <w:tcW w:w="6354" w:type="dxa"/>
          </w:tcPr>
          <w:p w14:paraId="6B745749" w14:textId="77777777" w:rsidR="009833F6" w:rsidRPr="00A02A83" w:rsidRDefault="009833F6" w:rsidP="00A02A83">
            <w:pPr>
              <w:jc w:val="both"/>
              <w:rPr>
                <w:bCs/>
                <w:sz w:val="22"/>
                <w:szCs w:val="22"/>
              </w:rPr>
            </w:pPr>
            <w:r w:rsidRPr="00A02A83">
              <w:rPr>
                <w:bCs/>
                <w:sz w:val="22"/>
                <w:szCs w:val="22"/>
              </w:rPr>
              <w:t>Mogući rizici, ključne prekretnice, upravljanje vremenom, naučeno iz sličnih iskustava.</w:t>
            </w:r>
          </w:p>
        </w:tc>
      </w:tr>
    </w:tbl>
    <w:p w14:paraId="2B8F8FA5" w14:textId="77777777" w:rsidR="009833F6" w:rsidRPr="00F260D0" w:rsidRDefault="009833F6" w:rsidP="00A02A83">
      <w:pPr>
        <w:jc w:val="both"/>
        <w:rPr>
          <w:bCs/>
        </w:rPr>
      </w:pPr>
      <w:r w:rsidRPr="00A02A83">
        <w:rPr>
          <w:bCs/>
          <w:sz w:val="22"/>
          <w:szCs w:val="22"/>
        </w:rPr>
        <w:br/>
      </w:r>
      <w:r w:rsidRPr="00F260D0">
        <w:rPr>
          <w:bCs/>
        </w:rPr>
        <w:t>Za složene je ugovore potrebno utvrditi niz prethodno određenih mjerila kako bi se pokazalo što bi se smatralo prihvatljivom ponudom. Ugovorni organ mogao bi čak unaprijed pripremiti najbolju teoretsku ponudu. Ako je to relevantno ili nužno, mogu se provesti druge, aktivnije aktivnosti sondiranja tržišta, kao što su sudjelovanja na konferencijama, sajmovima, seminarima ili provjere tržišta s prethodnim uključivanjem potencijalnih ponuđača.</w:t>
      </w:r>
    </w:p>
    <w:p w14:paraId="3D8682CF" w14:textId="77777777" w:rsidR="009833F6" w:rsidRPr="00F260D0" w:rsidRDefault="009833F6" w:rsidP="00A02A83">
      <w:pPr>
        <w:jc w:val="both"/>
        <w:rPr>
          <w:b/>
          <w:bCs/>
          <w:iCs/>
        </w:rPr>
      </w:pPr>
      <w:r w:rsidRPr="00F260D0">
        <w:rPr>
          <w:bCs/>
        </w:rPr>
        <w:br/>
      </w:r>
      <w:r w:rsidRPr="00F260D0">
        <w:rPr>
          <w:bCs/>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Prethodno savjetovanje o tržištu</w:t>
      </w:r>
    </w:p>
    <w:p w14:paraId="6C551F2E" w14:textId="77777777" w:rsidR="009833F6" w:rsidRPr="00F260D0" w:rsidRDefault="009833F6" w:rsidP="00A02A83">
      <w:pPr>
        <w:jc w:val="both"/>
        <w:rPr>
          <w:bCs/>
        </w:rPr>
      </w:pPr>
      <w:r w:rsidRPr="00F260D0">
        <w:rPr>
          <w:bCs/>
        </w:rPr>
        <w:br/>
        <w:t>Prethodno savjetovanje o tržištu uključuje razgovor s učesnicima na tržištu ili kontaktiranje s osobama koje posjeduju znanje o relevantnom području, napr. neovisnim stručnjacima, specijaliziranim tijelima, poslovnim organizacijama ili privrednim subjektima.</w:t>
      </w:r>
      <w:r w:rsidRPr="00F260D0">
        <w:rPr>
          <w:bCs/>
        </w:rPr>
        <w:br/>
      </w:r>
    </w:p>
    <w:p w14:paraId="189A1BB4" w14:textId="77777777" w:rsidR="009833F6" w:rsidRPr="008D51B2" w:rsidRDefault="009833F6" w:rsidP="00A02A83">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51B2">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Svrha prethodnog savjetovanja o tržištu je:</w:t>
      </w:r>
    </w:p>
    <w:p w14:paraId="436E0E59" w14:textId="77777777" w:rsidR="008D51B2" w:rsidRPr="00F260D0" w:rsidRDefault="008D51B2" w:rsidP="00A02A83">
      <w:pPr>
        <w:jc w:val="both"/>
        <w:rPr>
          <w:bCs/>
        </w:rPr>
      </w:pPr>
    </w:p>
    <w:p w14:paraId="6B2582C2" w14:textId="77777777" w:rsidR="009833F6" w:rsidRPr="00F260D0" w:rsidRDefault="009833F6" w:rsidP="00A02A83">
      <w:pPr>
        <w:jc w:val="both"/>
        <w:rPr>
          <w:bCs/>
        </w:rPr>
      </w:pPr>
      <w:r w:rsidRPr="00F260D0">
        <w:rPr>
          <w:bCs/>
        </w:rPr>
        <w:t>1. bolje pripremiti postupak nabavke,</w:t>
      </w:r>
    </w:p>
    <w:p w14:paraId="1916396D" w14:textId="77777777" w:rsidR="009833F6" w:rsidRPr="00F260D0" w:rsidRDefault="009833F6" w:rsidP="00A02A83">
      <w:pPr>
        <w:jc w:val="both"/>
        <w:rPr>
          <w:bCs/>
        </w:rPr>
      </w:pPr>
      <w:r w:rsidRPr="00F260D0">
        <w:rPr>
          <w:bCs/>
        </w:rPr>
        <w:t>2. obavijestiti privredne subjekte na relevantnom tržištu o planiranoj nabavci.</w:t>
      </w:r>
    </w:p>
    <w:p w14:paraId="0962AD14" w14:textId="77777777" w:rsidR="00A02A83" w:rsidRPr="00F260D0" w:rsidRDefault="009833F6" w:rsidP="00A02A83">
      <w:pPr>
        <w:jc w:val="both"/>
      </w:pPr>
      <w:r w:rsidRPr="00A02A83">
        <w:rPr>
          <w:bCs/>
          <w:sz w:val="22"/>
          <w:szCs w:val="22"/>
        </w:rPr>
        <w:br/>
      </w:r>
      <w:r w:rsidRPr="00F260D0">
        <w:rPr>
          <w:bCs/>
        </w:rPr>
        <w:t>Dijalog s tržištem prije početka postupka nabavke može pomoći u utvrđivanju inovativnih rješenja i novih proizvoda ili usluga za koje ugovorni organ možda nije znao.Može pomoći i tržištu da ispuni kriterije koji će se primijeniti u postupku nabavke objašnjavanjem vjerojatnih zahtjeva ugovornih organa</w:t>
      </w:r>
      <w:r w:rsidRPr="00F260D0">
        <w:t>.</w:t>
      </w:r>
      <w:r w:rsidR="00A02A83" w:rsidRPr="00F260D0">
        <w:t xml:space="preserve"> </w:t>
      </w:r>
    </w:p>
    <w:p w14:paraId="6C6F6911" w14:textId="77777777" w:rsidR="006661CD" w:rsidRPr="00F260D0" w:rsidRDefault="006661CD" w:rsidP="00A02A83">
      <w:pPr>
        <w:jc w:val="both"/>
      </w:pPr>
    </w:p>
    <w:p w14:paraId="04A5C246" w14:textId="21193BF2" w:rsidR="009833F6" w:rsidRPr="00F260D0" w:rsidRDefault="009833F6" w:rsidP="006661CD">
      <w:pPr>
        <w:jc w:val="both"/>
      </w:pPr>
      <w:r w:rsidRPr="00F260D0">
        <w:t>Iako</w:t>
      </w:r>
      <w:r w:rsidR="00A02A83" w:rsidRPr="00F260D0">
        <w:t xml:space="preserve"> </w:t>
      </w:r>
      <w:r w:rsidRPr="00F260D0">
        <w:t>ne postoje posebna pravila kojima se</w:t>
      </w:r>
      <w:r w:rsidRPr="00F260D0">
        <w:rPr>
          <w:bCs/>
        </w:rPr>
        <w:t xml:space="preserve"> uređuje</w:t>
      </w:r>
      <w:r w:rsidR="006661CD" w:rsidRPr="00F260D0">
        <w:rPr>
          <w:bCs/>
        </w:rPr>
        <w:t xml:space="preserve"> </w:t>
      </w:r>
      <w:r w:rsidRPr="00F260D0">
        <w:rPr>
          <w:bCs/>
        </w:rPr>
        <w:t>postupak provjere tržišta, uvijek se moraju slijediti osnovna načela zabrane diskriminacije, jednakog postupanja i transparentnosti. To je posebno važno ako ugovorni organ traži ili prihvaća savjete vanjskih saradnika ili</w:t>
      </w:r>
      <w:r w:rsidR="006661CD" w:rsidRPr="00F260D0">
        <w:rPr>
          <w:bCs/>
        </w:rPr>
        <w:t xml:space="preserve"> </w:t>
      </w:r>
      <w:r w:rsidRPr="00F260D0">
        <w:rPr>
          <w:bCs/>
        </w:rPr>
        <w:t>pojedinačnih privrednih subjekata. Tržištu se mora pristupiti tako da se osigura usklađenost s načelima transparentnosti i jednakog tretmana te da se izbjegne objavljivanje povlaštenih informacija i/ili povlaštenih položaja na tržištu.</w:t>
      </w:r>
    </w:p>
    <w:p w14:paraId="661AA954" w14:textId="77777777" w:rsidR="009833F6" w:rsidRPr="00F260D0" w:rsidRDefault="009833F6" w:rsidP="006661CD">
      <w:pPr>
        <w:rPr>
          <w:bCs/>
        </w:rPr>
      </w:pPr>
    </w:p>
    <w:p w14:paraId="66EFB84A" w14:textId="27DEFAAC" w:rsidR="009833F6" w:rsidRPr="00F260D0" w:rsidRDefault="009833F6" w:rsidP="00A02A83">
      <w:pPr>
        <w:jc w:val="both"/>
        <w:rPr>
          <w:bCs/>
        </w:rPr>
      </w:pPr>
      <w:r w:rsidRPr="00F260D0">
        <w:rPr>
          <w:bCs/>
        </w:rPr>
        <w:t>Stim u vezi, mišljenja smo da prethodna provjera tržišta je od bitnog utjecaja na pokretanje postupka nabavke, jer ugovorni organ rizikuje da primi ponude, koje mogu biti neprihvatljive ili će prilikom procjene vrijednosti platiti više nego što je stvarna tržišna vrijednost za taj predmet nabavke.</w:t>
      </w:r>
    </w:p>
    <w:p w14:paraId="0A74BB6D" w14:textId="77777777" w:rsidR="00CE6839" w:rsidRDefault="00CE6839" w:rsidP="009833F6">
      <w:pPr>
        <w:jc w:val="both"/>
        <w:rPr>
          <w:bCs/>
        </w:rPr>
      </w:pPr>
    </w:p>
    <w:p w14:paraId="2B20D42A" w14:textId="725FA112" w:rsidR="00CE6839" w:rsidRDefault="00CE6839" w:rsidP="009833F6">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6839">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Primjer iz prakse</w:t>
      </w:r>
      <w:r>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71F21AB" w14:textId="77777777" w:rsidR="00CE6839" w:rsidRDefault="00CE6839" w:rsidP="009833F6">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8DA5EE" w14:textId="47425719" w:rsidR="00CE6839" w:rsidRDefault="00CE6839" w:rsidP="009833F6">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6839">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Izvještaja analize tržišta</w:t>
      </w:r>
    </w:p>
    <w:p w14:paraId="18FF229F" w14:textId="77777777" w:rsidR="00CE6839" w:rsidRDefault="00CE6839" w:rsidP="009833F6">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19290F" w14:textId="77777777" w:rsidR="00CE6839" w:rsidRPr="00CE6839" w:rsidRDefault="00CE6839" w:rsidP="00CE6839">
      <w:pPr>
        <w:jc w:val="both"/>
        <w:rPr>
          <w:bCs/>
        </w:rPr>
      </w:pPr>
      <w:r w:rsidRPr="00CE6839">
        <w:rPr>
          <w:bCs/>
        </w:rPr>
        <w:t>Mogući elementi:</w:t>
      </w:r>
    </w:p>
    <w:p w14:paraId="354910CC" w14:textId="77777777" w:rsidR="00CE6839" w:rsidRPr="00CE6839" w:rsidRDefault="00CE6839" w:rsidP="00CE6839">
      <w:pPr>
        <w:jc w:val="both"/>
        <w:rPr>
          <w:bCs/>
        </w:rPr>
      </w:pPr>
    </w:p>
    <w:p w14:paraId="4F162E9C" w14:textId="46558596" w:rsidR="00CE6839" w:rsidRPr="00CE6839" w:rsidRDefault="00CE6839" w:rsidP="00CE6839">
      <w:pPr>
        <w:jc w:val="both"/>
        <w:rPr>
          <w:bCs/>
        </w:rPr>
      </w:pPr>
      <w:r w:rsidRPr="00CE6839">
        <w:rPr>
          <w:bCs/>
        </w:rPr>
        <w:t xml:space="preserve">Broj ponuđača......................................... </w:t>
      </w:r>
      <w:r>
        <w:rPr>
          <w:bCs/>
        </w:rPr>
        <w:t xml:space="preserve">............................................. </w:t>
      </w:r>
      <w:r w:rsidRPr="00CE6839">
        <w:rPr>
          <w:bCs/>
        </w:rPr>
        <w:t xml:space="preserve"> 1, 1-3, više od tri</w:t>
      </w:r>
    </w:p>
    <w:p w14:paraId="210701F9" w14:textId="7E7B3DD4" w:rsidR="00CE6839" w:rsidRPr="00CE6839" w:rsidRDefault="00CE6839" w:rsidP="00CE6839">
      <w:pPr>
        <w:jc w:val="both"/>
        <w:rPr>
          <w:bCs/>
        </w:rPr>
      </w:pPr>
      <w:r w:rsidRPr="00CE6839">
        <w:rPr>
          <w:bCs/>
        </w:rPr>
        <w:t>Asortiman proizvoda...............................</w:t>
      </w:r>
      <w:r>
        <w:rPr>
          <w:bCs/>
        </w:rPr>
        <w:t>............................................</w:t>
      </w:r>
      <w:r w:rsidRPr="00CE6839">
        <w:rPr>
          <w:bCs/>
        </w:rPr>
        <w:t xml:space="preserve">    Veliki izbor - Mali izbor</w:t>
      </w:r>
    </w:p>
    <w:p w14:paraId="24E36521" w14:textId="6D14F7DC" w:rsidR="00CE6839" w:rsidRPr="00CE6839" w:rsidRDefault="00CE6839" w:rsidP="00CE6839">
      <w:pPr>
        <w:jc w:val="both"/>
        <w:rPr>
          <w:bCs/>
        </w:rPr>
      </w:pPr>
      <w:r w:rsidRPr="00CE6839">
        <w:rPr>
          <w:bCs/>
        </w:rPr>
        <w:t xml:space="preserve">Da li postoji ekvivalent proizvoda........... </w:t>
      </w:r>
      <w:r>
        <w:rPr>
          <w:bCs/>
        </w:rPr>
        <w:t>............................................</w:t>
      </w:r>
      <w:r w:rsidRPr="00CE6839">
        <w:rPr>
          <w:bCs/>
        </w:rPr>
        <w:t xml:space="preserve">  Da Ne</w:t>
      </w:r>
    </w:p>
    <w:p w14:paraId="42AB7B41" w14:textId="19E7F6BB" w:rsidR="00CE6839" w:rsidRPr="00CE6839" w:rsidRDefault="00CE6839" w:rsidP="00CE6839">
      <w:pPr>
        <w:jc w:val="both"/>
        <w:rPr>
          <w:bCs/>
        </w:rPr>
      </w:pPr>
      <w:r w:rsidRPr="00CE6839">
        <w:rPr>
          <w:bCs/>
        </w:rPr>
        <w:t>Cijena predmeta nabavke:.......................</w:t>
      </w:r>
      <w:r>
        <w:rPr>
          <w:bCs/>
        </w:rPr>
        <w:t>................................................</w:t>
      </w:r>
      <w:r w:rsidRPr="00CE6839">
        <w:rPr>
          <w:bCs/>
        </w:rPr>
        <w:t>bez PDV-a</w:t>
      </w:r>
    </w:p>
    <w:p w14:paraId="47A44567" w14:textId="77777777" w:rsidR="00CE6839" w:rsidRPr="00CE6839" w:rsidRDefault="00CE6839" w:rsidP="00CE6839">
      <w:pPr>
        <w:jc w:val="both"/>
        <w:rPr>
          <w:bCs/>
        </w:rPr>
      </w:pPr>
      <w:r w:rsidRPr="00CE6839">
        <w:rPr>
          <w:bCs/>
        </w:rPr>
        <w:t xml:space="preserve">                                            Jedinična cijena </w:t>
      </w:r>
    </w:p>
    <w:p w14:paraId="040763A1" w14:textId="77777777" w:rsidR="00CE6839" w:rsidRPr="00CE6839" w:rsidRDefault="00CE6839" w:rsidP="00CE6839">
      <w:pPr>
        <w:jc w:val="both"/>
        <w:rPr>
          <w:bCs/>
        </w:rPr>
      </w:pPr>
      <w:r w:rsidRPr="00CE6839">
        <w:rPr>
          <w:bCs/>
        </w:rPr>
        <w:t xml:space="preserve">                                            Inflacija cijene</w:t>
      </w:r>
    </w:p>
    <w:p w14:paraId="2A85B77C" w14:textId="77777777" w:rsidR="00CE6839" w:rsidRPr="00CE6839" w:rsidRDefault="00CE6839" w:rsidP="00CE6839">
      <w:pPr>
        <w:jc w:val="both"/>
        <w:rPr>
          <w:bCs/>
        </w:rPr>
      </w:pPr>
      <w:r w:rsidRPr="00CE6839">
        <w:rPr>
          <w:bCs/>
        </w:rPr>
        <w:t xml:space="preserve">                                            Zvanična cijena nadležnih institucija</w:t>
      </w:r>
    </w:p>
    <w:p w14:paraId="66DCD906" w14:textId="77777777" w:rsidR="00CE6839" w:rsidRPr="00CE6839" w:rsidRDefault="00CE6839" w:rsidP="00CE6839">
      <w:pPr>
        <w:jc w:val="both"/>
        <w:rPr>
          <w:bCs/>
        </w:rPr>
      </w:pPr>
      <w:r w:rsidRPr="00CE6839">
        <w:rPr>
          <w:bCs/>
        </w:rPr>
        <w:t xml:space="preserve">                                            Cijena dostupna na internet stranici</w:t>
      </w:r>
    </w:p>
    <w:p w14:paraId="417EB83C" w14:textId="77777777" w:rsidR="00CE6839" w:rsidRDefault="00CE6839" w:rsidP="00CE6839">
      <w:pPr>
        <w:jc w:val="both"/>
        <w:rPr>
          <w:bCs/>
        </w:rPr>
      </w:pPr>
      <w:r w:rsidRPr="00CE6839">
        <w:rPr>
          <w:bCs/>
        </w:rPr>
        <w:t xml:space="preserve">                                            Stručna procjena cijene izvršena  </w:t>
      </w:r>
    </w:p>
    <w:p w14:paraId="28522F57" w14:textId="77777777" w:rsidR="00CE6839" w:rsidRDefault="00CE6839" w:rsidP="00CE6839">
      <w:pPr>
        <w:jc w:val="both"/>
        <w:rPr>
          <w:bCs/>
        </w:rPr>
      </w:pPr>
    </w:p>
    <w:p w14:paraId="69FC6527" w14:textId="4DA46CCF" w:rsidR="00CE6839" w:rsidRPr="00CE6839" w:rsidRDefault="00CE6839" w:rsidP="00CE6839">
      <w:pPr>
        <w:jc w:val="both"/>
        <w:rPr>
          <w:bCs/>
        </w:rPr>
      </w:pPr>
      <w:r w:rsidRPr="00CE6839">
        <w:rPr>
          <w:bCs/>
        </w:rPr>
        <w:t xml:space="preserve">Broj poznatih ponuđača :                                                </w:t>
      </w:r>
      <w:r>
        <w:rPr>
          <w:bCs/>
        </w:rPr>
        <w:t xml:space="preserve">                         </w:t>
      </w:r>
      <w:r w:rsidRPr="00CE6839">
        <w:rPr>
          <w:bCs/>
        </w:rPr>
        <w:t>(1, 1-3, više od 3)</w:t>
      </w:r>
    </w:p>
    <w:p w14:paraId="12C16D47" w14:textId="6EB3D8C3" w:rsidR="00CE6839" w:rsidRPr="00CE6839" w:rsidRDefault="00CE6839" w:rsidP="00CE6839">
      <w:pPr>
        <w:jc w:val="both"/>
        <w:rPr>
          <w:bCs/>
        </w:rPr>
      </w:pPr>
      <w:r w:rsidRPr="00CE6839">
        <w:rPr>
          <w:bCs/>
        </w:rPr>
        <w:t xml:space="preserve">Drugi ugovorni organi provode istu vrstu nabavke     </w:t>
      </w:r>
      <w:r>
        <w:rPr>
          <w:bCs/>
        </w:rPr>
        <w:t xml:space="preserve">                            </w:t>
      </w:r>
      <w:r w:rsidRPr="00CE6839">
        <w:rPr>
          <w:bCs/>
        </w:rPr>
        <w:t>Da/Ne</w:t>
      </w:r>
    </w:p>
    <w:p w14:paraId="2189FAB0" w14:textId="5271B183" w:rsidR="00CE6839" w:rsidRPr="00CE6839" w:rsidRDefault="00CE6839" w:rsidP="00CE6839">
      <w:pPr>
        <w:jc w:val="both"/>
        <w:rPr>
          <w:bCs/>
        </w:rPr>
      </w:pPr>
      <w:r w:rsidRPr="00CE6839">
        <w:rPr>
          <w:bCs/>
        </w:rPr>
        <w:t xml:space="preserve">Postoji li zamjenski proizvod                                            </w:t>
      </w:r>
      <w:r>
        <w:rPr>
          <w:bCs/>
        </w:rPr>
        <w:t xml:space="preserve">                       </w:t>
      </w:r>
      <w:r w:rsidRPr="00CE6839">
        <w:rPr>
          <w:bCs/>
        </w:rPr>
        <w:t>Da/Ne</w:t>
      </w:r>
    </w:p>
    <w:p w14:paraId="4562E6C3" w14:textId="4E70A4DE" w:rsidR="00CE6839" w:rsidRPr="00CE6839" w:rsidRDefault="00CE6839" w:rsidP="00CE6839">
      <w:pPr>
        <w:jc w:val="both"/>
        <w:rPr>
          <w:bCs/>
        </w:rPr>
      </w:pPr>
      <w:r w:rsidRPr="00CE6839">
        <w:rPr>
          <w:bCs/>
        </w:rPr>
        <w:t xml:space="preserve">Procijenjena vrijednost nabavke                                   </w:t>
      </w:r>
      <w:r>
        <w:rPr>
          <w:bCs/>
        </w:rPr>
        <w:t xml:space="preserve">                           </w:t>
      </w:r>
      <w:r w:rsidRPr="00CE6839">
        <w:rPr>
          <w:bCs/>
        </w:rPr>
        <w:t>KM bez PDV-a</w:t>
      </w:r>
    </w:p>
    <w:p w14:paraId="7E3BA2D9" w14:textId="3AA7B251" w:rsidR="00CE6839" w:rsidRPr="00CE6839" w:rsidRDefault="00CE6839" w:rsidP="00CE6839">
      <w:pPr>
        <w:jc w:val="both"/>
        <w:rPr>
          <w:bCs/>
        </w:rPr>
      </w:pPr>
      <w:r w:rsidRPr="00CE6839">
        <w:rPr>
          <w:bCs/>
        </w:rPr>
        <w:t xml:space="preserve">Obaviti procjenu vrijednosti                                             </w:t>
      </w:r>
      <w:r>
        <w:rPr>
          <w:bCs/>
        </w:rPr>
        <w:t xml:space="preserve">                      </w:t>
      </w:r>
      <w:r w:rsidRPr="00CE6839">
        <w:rPr>
          <w:bCs/>
        </w:rPr>
        <w:t xml:space="preserve">  Da/Ne</w:t>
      </w:r>
    </w:p>
    <w:p w14:paraId="50E36122" w14:textId="77777777" w:rsidR="00CE6839" w:rsidRPr="00CE6839" w:rsidRDefault="00CE6839" w:rsidP="00CE6839">
      <w:pPr>
        <w:jc w:val="both"/>
        <w:rPr>
          <w:bCs/>
        </w:rPr>
      </w:pPr>
      <w:r w:rsidRPr="00CE6839">
        <w:rPr>
          <w:bCs/>
        </w:rPr>
        <w:t xml:space="preserve"> Obrazloženje</w:t>
      </w:r>
    </w:p>
    <w:p w14:paraId="3E122A65" w14:textId="77777777" w:rsidR="00CE6839" w:rsidRPr="00CE6839" w:rsidRDefault="00CE6839" w:rsidP="00CE6839">
      <w:pPr>
        <w:jc w:val="both"/>
        <w:rPr>
          <w:bCs/>
        </w:rPr>
      </w:pPr>
      <w:r w:rsidRPr="00CE6839">
        <w:rPr>
          <w:bCs/>
        </w:rPr>
        <w:t>(Navesti i obrazložiti na koji način su prikupljene informacije)</w:t>
      </w:r>
    </w:p>
    <w:p w14:paraId="59F144C0" w14:textId="77777777" w:rsidR="00CE6839" w:rsidRPr="00CE6839" w:rsidRDefault="00CE6839" w:rsidP="00CE6839">
      <w:pPr>
        <w:jc w:val="both"/>
        <w:rPr>
          <w:bCs/>
        </w:rPr>
      </w:pPr>
    </w:p>
    <w:p w14:paraId="17E74E59" w14:textId="0D136A50" w:rsidR="00CE6839" w:rsidRPr="00CE6839" w:rsidRDefault="00CE6839" w:rsidP="00CE6839">
      <w:pPr>
        <w:jc w:val="both"/>
        <w:rPr>
          <w:bCs/>
        </w:rPr>
      </w:pPr>
      <w:r w:rsidRPr="00CE6839">
        <w:rPr>
          <w:bCs/>
        </w:rPr>
        <w:t xml:space="preserve">Jedinična cijena iz istih ili sličnih ugovora                          </w:t>
      </w:r>
      <w:r>
        <w:rPr>
          <w:bCs/>
        </w:rPr>
        <w:t xml:space="preserve">                      </w:t>
      </w:r>
      <w:r w:rsidRPr="00CE6839">
        <w:rPr>
          <w:bCs/>
        </w:rPr>
        <w:t xml:space="preserve">  Da/Ne</w:t>
      </w:r>
    </w:p>
    <w:p w14:paraId="1FB56295" w14:textId="103AFD1C" w:rsidR="00CE6839" w:rsidRPr="00CE6839" w:rsidRDefault="00CE6839" w:rsidP="00CE6839">
      <w:pPr>
        <w:jc w:val="both"/>
        <w:rPr>
          <w:bCs/>
        </w:rPr>
      </w:pPr>
      <w:r w:rsidRPr="00CE6839">
        <w:rPr>
          <w:bCs/>
        </w:rPr>
        <w:t xml:space="preserve">Dostupne informacije o trendu kretanja cijene                  </w:t>
      </w:r>
      <w:r>
        <w:rPr>
          <w:bCs/>
        </w:rPr>
        <w:t xml:space="preserve">                          </w:t>
      </w:r>
      <w:r w:rsidRPr="00CE6839">
        <w:rPr>
          <w:bCs/>
        </w:rPr>
        <w:t>Da/Ne</w:t>
      </w:r>
    </w:p>
    <w:p w14:paraId="0C93B517" w14:textId="7608853A" w:rsidR="00CE6839" w:rsidRPr="00CE6839" w:rsidRDefault="00CE6839" w:rsidP="00CE6839">
      <w:pPr>
        <w:jc w:val="both"/>
        <w:rPr>
          <w:bCs/>
        </w:rPr>
      </w:pPr>
      <w:r w:rsidRPr="00CE6839">
        <w:rPr>
          <w:bCs/>
        </w:rPr>
        <w:t xml:space="preserve">Cijene ponude iz drugih ugovornih organa                         </w:t>
      </w:r>
      <w:r>
        <w:rPr>
          <w:bCs/>
        </w:rPr>
        <w:t xml:space="preserve">                       </w:t>
      </w:r>
      <w:r w:rsidRPr="00CE6839">
        <w:rPr>
          <w:bCs/>
        </w:rPr>
        <w:t xml:space="preserve"> Da/Ne</w:t>
      </w:r>
    </w:p>
    <w:p w14:paraId="1996E75C" w14:textId="6B776DED" w:rsidR="00CE6839" w:rsidRPr="00CE6839" w:rsidRDefault="00CE6839" w:rsidP="00CE6839">
      <w:pPr>
        <w:jc w:val="both"/>
        <w:rPr>
          <w:bCs/>
        </w:rPr>
      </w:pPr>
      <w:r w:rsidRPr="00CE6839">
        <w:rPr>
          <w:bCs/>
        </w:rPr>
        <w:t xml:space="preserve">Cijene dostupne na internet stranicama UO                      </w:t>
      </w:r>
      <w:r>
        <w:rPr>
          <w:bCs/>
        </w:rPr>
        <w:t xml:space="preserve">                         </w:t>
      </w:r>
      <w:r w:rsidRPr="00CE6839">
        <w:rPr>
          <w:bCs/>
        </w:rPr>
        <w:t xml:space="preserve"> Da/Ne</w:t>
      </w:r>
    </w:p>
    <w:p w14:paraId="4D366A25" w14:textId="63654701" w:rsidR="00CE6839" w:rsidRPr="00CE6839" w:rsidRDefault="00CE6839" w:rsidP="00CE6839">
      <w:pPr>
        <w:jc w:val="both"/>
        <w:rPr>
          <w:bCs/>
        </w:rPr>
      </w:pPr>
      <w:r w:rsidRPr="00CE6839">
        <w:rPr>
          <w:bCs/>
        </w:rPr>
        <w:t xml:space="preserve">Direktni kontakt sa dobavljačima                                         </w:t>
      </w:r>
      <w:r>
        <w:rPr>
          <w:bCs/>
        </w:rPr>
        <w:t xml:space="preserve">                      </w:t>
      </w:r>
      <w:r w:rsidRPr="00CE6839">
        <w:rPr>
          <w:bCs/>
        </w:rPr>
        <w:t xml:space="preserve"> Da/Ne</w:t>
      </w:r>
    </w:p>
    <w:p w14:paraId="30745078" w14:textId="7174EE51" w:rsidR="00CE6839" w:rsidRDefault="00CE6839" w:rsidP="00CE6839">
      <w:pPr>
        <w:jc w:val="both"/>
        <w:rPr>
          <w:bCs/>
        </w:rPr>
      </w:pPr>
      <w:r w:rsidRPr="00CE6839">
        <w:rPr>
          <w:bCs/>
        </w:rPr>
        <w:lastRenderedPageBreak/>
        <w:t xml:space="preserve">Stručna procjena                                                                     </w:t>
      </w:r>
      <w:r>
        <w:rPr>
          <w:bCs/>
        </w:rPr>
        <w:t xml:space="preserve">                     </w:t>
      </w:r>
      <w:r w:rsidRPr="00CE6839">
        <w:rPr>
          <w:bCs/>
        </w:rPr>
        <w:t>Da/Ne</w:t>
      </w:r>
    </w:p>
    <w:p w14:paraId="202149BA" w14:textId="77777777" w:rsidR="00CE6839" w:rsidRPr="00CE6839" w:rsidRDefault="00CE6839" w:rsidP="00CE6839">
      <w:pPr>
        <w:jc w:val="both"/>
        <w:rPr>
          <w:bCs/>
        </w:rPr>
      </w:pPr>
    </w:p>
    <w:p w14:paraId="74883B87" w14:textId="7ABB640E" w:rsidR="000D3A23" w:rsidRPr="00C53CAC" w:rsidRDefault="000D3A23" w:rsidP="00AE2653">
      <w:pPr>
        <w:pStyle w:val="Heading1"/>
      </w:pPr>
      <w:bookmarkStart w:id="3" w:name="_Toc168432482"/>
      <w:r w:rsidRPr="00C53CAC">
        <w:t>Ugovorni organ</w:t>
      </w:r>
      <w:bookmarkEnd w:id="3"/>
      <w:r w:rsidRPr="00C53CAC">
        <w:t xml:space="preserve"> </w:t>
      </w:r>
    </w:p>
    <w:p w14:paraId="7D5BFCB3" w14:textId="77777777" w:rsidR="000D3A23" w:rsidRDefault="000D3A23" w:rsidP="009833F6">
      <w:pPr>
        <w:jc w:val="both"/>
        <w:rPr>
          <w:bCs/>
        </w:rPr>
      </w:pPr>
    </w:p>
    <w:p w14:paraId="2993B238" w14:textId="1C343192" w:rsidR="00BB13C2" w:rsidRPr="008D51B2" w:rsidRDefault="00BB13C2" w:rsidP="00C53CAC">
      <w:pPr>
        <w:jc w:val="both"/>
        <w:rPr>
          <w:bCs/>
        </w:rPr>
      </w:pPr>
      <w:r w:rsidRPr="008D51B2">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Član 2. stav (1) tačka b) Zakona</w:t>
      </w:r>
      <w:r w:rsidRPr="008D51B2">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D51B2">
        <w:rPr>
          <w:bCs/>
        </w:rPr>
        <w:t xml:space="preserve">definiše da je ugovorni organ u smislu ovog zakona: </w:t>
      </w:r>
    </w:p>
    <w:p w14:paraId="2228E2F1" w14:textId="77777777" w:rsidR="00BB13C2" w:rsidRPr="008D51B2" w:rsidRDefault="00BB13C2" w:rsidP="00BB13C2">
      <w:pPr>
        <w:jc w:val="both"/>
        <w:rPr>
          <w:bCs/>
        </w:rPr>
      </w:pPr>
    </w:p>
    <w:p w14:paraId="1596EDCD" w14:textId="5A651C3C" w:rsidR="00BB13C2" w:rsidRPr="008D51B2" w:rsidRDefault="00BB13C2" w:rsidP="00BB13C2">
      <w:pPr>
        <w:jc w:val="both"/>
        <w:rPr>
          <w:bCs/>
        </w:rPr>
      </w:pPr>
      <w:r w:rsidRPr="008D51B2">
        <w:rPr>
          <w:bCs/>
        </w:rPr>
        <w:t>1) ugovorni organ iz člana 4. ovog zakona koji provodi postupak javne nabavke robe, usluga i/ili radova,</w:t>
      </w:r>
    </w:p>
    <w:p w14:paraId="521C835D" w14:textId="77777777" w:rsidR="00BB13C2" w:rsidRPr="008D51B2" w:rsidRDefault="00BB13C2" w:rsidP="00BB13C2">
      <w:pPr>
        <w:jc w:val="both"/>
        <w:rPr>
          <w:bCs/>
        </w:rPr>
      </w:pPr>
    </w:p>
    <w:p w14:paraId="561E3994" w14:textId="36D60A4E" w:rsidR="00BB13C2" w:rsidRPr="008D51B2" w:rsidRDefault="00BB13C2" w:rsidP="00BB13C2">
      <w:pPr>
        <w:jc w:val="both"/>
        <w:rPr>
          <w:bCs/>
        </w:rPr>
      </w:pPr>
      <w:r w:rsidRPr="008D51B2">
        <w:rPr>
          <w:bCs/>
        </w:rPr>
        <w:t>2) sektorski ugovorni organ iz člana 5. ovog zakona koji obavlja djelatnost u oblasti vodosnabdijevanja ili energetike ili prometa ili poštanskih usluga i koji provodi postupak javne nabavke robe, usluga i/ili radova.</w:t>
      </w:r>
    </w:p>
    <w:p w14:paraId="7A6DCAF3" w14:textId="77777777" w:rsidR="00BB13C2" w:rsidRPr="008D51B2" w:rsidRDefault="00BB13C2" w:rsidP="00BB13C2">
      <w:pPr>
        <w:jc w:val="both"/>
        <w:rPr>
          <w:bCs/>
        </w:rPr>
      </w:pPr>
    </w:p>
    <w:p w14:paraId="7EAE7567" w14:textId="7D63A7FC" w:rsidR="00BB13C2" w:rsidRPr="008D51B2" w:rsidRDefault="00BB13C2" w:rsidP="00A97226">
      <w:pPr>
        <w:jc w:val="both"/>
        <w:rPr>
          <w:bCs/>
        </w:rPr>
      </w:pPr>
      <w:r w:rsidRPr="008D51B2">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Zakon u članu 4. u stavu (1) </w:t>
      </w:r>
      <w:r w:rsidRPr="008D51B2">
        <w:rPr>
          <w:bCs/>
        </w:rPr>
        <w:t>definiše obveznike primjene ovog zakona, i to:</w:t>
      </w:r>
    </w:p>
    <w:p w14:paraId="05DAE2B0" w14:textId="77777777" w:rsidR="00BB13C2" w:rsidRPr="008D51B2" w:rsidRDefault="00BB13C2" w:rsidP="00BB13C2">
      <w:pPr>
        <w:jc w:val="both"/>
        <w:rPr>
          <w:bCs/>
        </w:rPr>
      </w:pPr>
    </w:p>
    <w:p w14:paraId="39372D90" w14:textId="77777777" w:rsidR="00BB13C2" w:rsidRPr="008D51B2" w:rsidRDefault="00BB13C2" w:rsidP="00BB13C2">
      <w:pPr>
        <w:jc w:val="both"/>
        <w:rPr>
          <w:bCs/>
        </w:rPr>
      </w:pPr>
      <w:r w:rsidRPr="008D51B2">
        <w:rPr>
          <w:bCs/>
        </w:rPr>
        <w:t>a) Svaka institucija vlasti u Bosni i Hercegovini, entitetima, Brčko Distriktu Bosne i Hercegovine, na nivou kantona, grada ili općine (u daljem tekstu: institucija vlasti na državnom, entitetskom ili lokalnom nivou);</w:t>
      </w:r>
    </w:p>
    <w:p w14:paraId="14DBCCED" w14:textId="77777777" w:rsidR="00BB13C2" w:rsidRPr="008D51B2" w:rsidRDefault="00BB13C2" w:rsidP="00BB13C2">
      <w:pPr>
        <w:jc w:val="both"/>
        <w:rPr>
          <w:bCs/>
        </w:rPr>
      </w:pPr>
    </w:p>
    <w:p w14:paraId="4F514AE2" w14:textId="77777777" w:rsidR="00BB13C2" w:rsidRPr="008D51B2" w:rsidRDefault="00BB13C2" w:rsidP="00BB13C2">
      <w:pPr>
        <w:jc w:val="both"/>
        <w:rPr>
          <w:bCs/>
        </w:rPr>
      </w:pPr>
      <w:r w:rsidRPr="008D51B2">
        <w:rPr>
          <w:bCs/>
        </w:rPr>
        <w:t xml:space="preserve">b) Pravna osoba koja je osnovana za određenu svrhu u cilju zadovoljavanja potreba od opšteg interesa, a koja nema industrijski ili komercijalni karakter, i ispunjava najmanje jedan od slijedećih uslova: </w:t>
      </w:r>
    </w:p>
    <w:p w14:paraId="7CB28F13" w14:textId="3DE62A69" w:rsidR="00BB13C2" w:rsidRPr="008D51B2" w:rsidRDefault="00BB13C2" w:rsidP="00BB13C2">
      <w:pPr>
        <w:jc w:val="both"/>
        <w:rPr>
          <w:bCs/>
        </w:rPr>
      </w:pPr>
      <w:r w:rsidRPr="008D51B2">
        <w:rPr>
          <w:bCs/>
        </w:rPr>
        <w:t xml:space="preserve">1) finansirana je, najvećim dijelom, iz javnih sredstava, ili </w:t>
      </w:r>
    </w:p>
    <w:p w14:paraId="6927B6F9" w14:textId="0D6367A1" w:rsidR="00BB13C2" w:rsidRPr="008D51B2" w:rsidRDefault="00BB13C2" w:rsidP="00BB13C2">
      <w:pPr>
        <w:jc w:val="both"/>
        <w:rPr>
          <w:bCs/>
        </w:rPr>
      </w:pPr>
      <w:r w:rsidRPr="008D51B2">
        <w:rPr>
          <w:bCs/>
        </w:rPr>
        <w:t xml:space="preserve">2) nadzor nad upravljanjem vrši ugovorni organ definisan u tač. a) i b) ovog stava, ili  </w:t>
      </w:r>
    </w:p>
    <w:p w14:paraId="33A35E07" w14:textId="30769ED3" w:rsidR="00BB13C2" w:rsidRPr="008D51B2" w:rsidRDefault="00BB13C2" w:rsidP="00BB13C2">
      <w:pPr>
        <w:jc w:val="both"/>
        <w:rPr>
          <w:bCs/>
        </w:rPr>
      </w:pPr>
      <w:r w:rsidRPr="008D51B2">
        <w:rPr>
          <w:bCs/>
        </w:rPr>
        <w:t xml:space="preserve">3) više od polovine članova skupštine, upravnog ili nadzornog odbora, čine imenovani ili izabrani predstavnici ugovornih organa iz tač. a) i b) ovog stava; </w:t>
      </w:r>
    </w:p>
    <w:p w14:paraId="1D5AF7C7" w14:textId="77777777" w:rsidR="00BB13C2" w:rsidRPr="008D51B2" w:rsidRDefault="00BB13C2" w:rsidP="00BB13C2">
      <w:pPr>
        <w:jc w:val="both"/>
        <w:rPr>
          <w:bCs/>
        </w:rPr>
      </w:pPr>
    </w:p>
    <w:p w14:paraId="45E060D7" w14:textId="77777777" w:rsidR="00BB13C2" w:rsidRPr="008D51B2" w:rsidRDefault="00BB13C2" w:rsidP="00BB13C2">
      <w:pPr>
        <w:jc w:val="both"/>
        <w:rPr>
          <w:bCs/>
        </w:rPr>
      </w:pPr>
      <w:r w:rsidRPr="008D51B2">
        <w:rPr>
          <w:bCs/>
        </w:rPr>
        <w:t>c) Asocijacija formirana od strane jedne ili više institucija vlasti ili pravnih osoba koje su definisane u tač. a) i b) ovog stava.</w:t>
      </w:r>
    </w:p>
    <w:p w14:paraId="4BEFDFE3" w14:textId="77777777" w:rsidR="00BB13C2" w:rsidRPr="008D51B2" w:rsidRDefault="00BB13C2" w:rsidP="00BB13C2">
      <w:pPr>
        <w:jc w:val="both"/>
        <w:rPr>
          <w:bCs/>
        </w:rPr>
      </w:pPr>
    </w:p>
    <w:p w14:paraId="4C6CE1C1" w14:textId="77777777" w:rsidR="00BB13C2" w:rsidRPr="008D51B2" w:rsidRDefault="00BB13C2" w:rsidP="00BB13C2">
      <w:pPr>
        <w:jc w:val="both"/>
        <w:rPr>
          <w:bCs/>
        </w:rPr>
      </w:pPr>
      <w:r w:rsidRPr="008D51B2">
        <w:rPr>
          <w:bCs/>
        </w:rPr>
        <w:t>Direktiva 2004/18 koja koordinira postupke javnih nabavki javnog sektora (''klasična direktiva'') definiše ugovorne organe kao ''države, regionalne ili lokalne organe, tijela kojima upravlja javno pravo, udruženja osnovana od strane jednog ili više takvih organa ili jednog ili više takvih tijela kojima upravlja javno pravo'' (član 1. (9)). Prema definiciji koja je navedena u članu 1. (9) b) ''tijelo kojim upravlja javno pravo'' je svako tijelo koje:</w:t>
      </w:r>
    </w:p>
    <w:p w14:paraId="081D7E3C" w14:textId="77777777" w:rsidR="00BB13C2" w:rsidRPr="008D51B2" w:rsidRDefault="00BB13C2" w:rsidP="00BB13C2">
      <w:pPr>
        <w:jc w:val="both"/>
        <w:rPr>
          <w:bCs/>
        </w:rPr>
      </w:pPr>
    </w:p>
    <w:p w14:paraId="6E808475" w14:textId="118CAB3D" w:rsidR="00BB13C2" w:rsidRPr="008D51B2" w:rsidRDefault="00BB13C2" w:rsidP="00BB13C2">
      <w:pPr>
        <w:jc w:val="both"/>
        <w:rPr>
          <w:bCs/>
        </w:rPr>
      </w:pPr>
      <w:r w:rsidRPr="008D51B2">
        <w:rPr>
          <w:bCs/>
        </w:rPr>
        <w:t>a) je osnovano za određene svrhe zadovoljavanja potreba u opštem interesu, koje nema industrijski ili trgovački karakter;</w:t>
      </w:r>
    </w:p>
    <w:p w14:paraId="53667357" w14:textId="68AC65FE" w:rsidR="00BB13C2" w:rsidRPr="008D51B2" w:rsidRDefault="00BB13C2" w:rsidP="00BB13C2">
      <w:pPr>
        <w:jc w:val="both"/>
        <w:rPr>
          <w:bCs/>
        </w:rPr>
      </w:pPr>
      <w:r w:rsidRPr="008D51B2">
        <w:rPr>
          <w:bCs/>
        </w:rPr>
        <w:t>b) ima pravni oblik; i</w:t>
      </w:r>
    </w:p>
    <w:p w14:paraId="1C63ADBE" w14:textId="61D2D8AC" w:rsidR="00BB13C2" w:rsidRPr="008D51B2" w:rsidRDefault="00BB13C2" w:rsidP="00BB13C2">
      <w:pPr>
        <w:jc w:val="both"/>
        <w:rPr>
          <w:bCs/>
        </w:rPr>
      </w:pPr>
      <w:r w:rsidRPr="008D51B2">
        <w:rPr>
          <w:bCs/>
        </w:rPr>
        <w:t>c) ispunjava najmanje jedan od slijedećih uslova:</w:t>
      </w:r>
    </w:p>
    <w:p w14:paraId="370D2365" w14:textId="77777777" w:rsidR="00BB13C2" w:rsidRPr="008D51B2" w:rsidRDefault="00BB13C2" w:rsidP="00BB13C2">
      <w:pPr>
        <w:jc w:val="both"/>
        <w:rPr>
          <w:bCs/>
        </w:rPr>
      </w:pPr>
    </w:p>
    <w:p w14:paraId="0E13BD93" w14:textId="561B4059" w:rsidR="00BB13C2" w:rsidRPr="008D51B2" w:rsidRDefault="00BB13C2" w:rsidP="00BB13C2">
      <w:pPr>
        <w:jc w:val="both"/>
        <w:rPr>
          <w:bCs/>
        </w:rPr>
      </w:pPr>
      <w:r w:rsidRPr="008D51B2">
        <w:rPr>
          <w:bCs/>
        </w:rPr>
        <w:t>- finansira ga, najvećim (t.j. više od 50%) dijelom, država ili drugi ugovorni organi,</w:t>
      </w:r>
    </w:p>
    <w:p w14:paraId="265C68C0" w14:textId="4F5F2509" w:rsidR="00BB13C2" w:rsidRPr="008D51B2" w:rsidRDefault="00BB13C2" w:rsidP="00BB13C2">
      <w:pPr>
        <w:jc w:val="both"/>
        <w:rPr>
          <w:bCs/>
        </w:rPr>
      </w:pPr>
      <w:r w:rsidRPr="008D51B2">
        <w:rPr>
          <w:bCs/>
        </w:rPr>
        <w:t>- podložno je upraviteljskom nadzoru od strane takvih tijela;</w:t>
      </w:r>
    </w:p>
    <w:p w14:paraId="422B5801" w14:textId="385FFA5C" w:rsidR="00BB13C2" w:rsidRPr="008D51B2" w:rsidRDefault="00BB13C2" w:rsidP="00BB13C2">
      <w:pPr>
        <w:jc w:val="both"/>
        <w:rPr>
          <w:bCs/>
        </w:rPr>
      </w:pPr>
      <w:r w:rsidRPr="008D51B2">
        <w:rPr>
          <w:bCs/>
        </w:rPr>
        <w:t>- ima menadžerski odbor čijih više od pola članova imenuje takva tijela.</w:t>
      </w:r>
    </w:p>
    <w:p w14:paraId="13DBF86E" w14:textId="77777777" w:rsidR="00BB13C2" w:rsidRPr="008D51B2" w:rsidRDefault="00BB13C2" w:rsidP="00BB13C2">
      <w:pPr>
        <w:jc w:val="both"/>
        <w:rPr>
          <w:bCs/>
        </w:rPr>
      </w:pPr>
    </w:p>
    <w:p w14:paraId="78D6542C" w14:textId="77777777" w:rsidR="00BB13C2" w:rsidRPr="008D51B2" w:rsidRDefault="00BB13C2" w:rsidP="00BB13C2">
      <w:pPr>
        <w:jc w:val="both"/>
        <w:rPr>
          <w:bCs/>
        </w:rPr>
      </w:pPr>
      <w:r w:rsidRPr="008D51B2">
        <w:rPr>
          <w:bCs/>
        </w:rPr>
        <w:t xml:space="preserve">Tijelo kojim upravlja javno pravo je (primarno) neprofitna organizacija, koja zavisi od države (ili lokalnih vlasti), kreirana u svrhu zadovoljavanja opštih potreba, koje nemaju komercijalni karakter. Potrebe komercijalnog karaktera zadovoljavaju se kada su robe i usluge dostupne na </w:t>
      </w:r>
      <w:r w:rsidRPr="008D51B2">
        <w:rPr>
          <w:bCs/>
        </w:rPr>
        <w:lastRenderedPageBreak/>
        <w:t>tržištu. Opšte potrebe koje nemaju komercijalni karakter zadovoljavaju država i njene institucije. Potrebe te vrste su one koje, iz razloga povezanih sa opštim interesom, sama država odabere da obezbijedi ili preko kojih želi da zadrži uticaj. Tijelo kojim upravlja javno pravo u pravilu nema konkurenciju privatnih komercijalnih kompanija (ima monopolističku poziciju i/ili operira u nekomercijalnom sektoru). Ipak, čak i postojanje konkurencije od strane privatnih kompanija nije validan test, obzirom da uvijek postoji mogućnost da i privatne kompanije žele pružati te iste usluge.</w:t>
      </w:r>
    </w:p>
    <w:p w14:paraId="51680F60" w14:textId="77777777" w:rsidR="00BB13C2" w:rsidRPr="008D51B2" w:rsidRDefault="00BB13C2" w:rsidP="00BB13C2">
      <w:pPr>
        <w:jc w:val="both"/>
        <w:rPr>
          <w:bCs/>
        </w:rPr>
      </w:pPr>
    </w:p>
    <w:p w14:paraId="2022A53A" w14:textId="77777777" w:rsidR="00BB13C2" w:rsidRPr="008D51B2" w:rsidRDefault="00BB13C2" w:rsidP="00BB13C2">
      <w:pPr>
        <w:jc w:val="both"/>
        <w:rPr>
          <w:bCs/>
        </w:rPr>
      </w:pPr>
      <w:r w:rsidRPr="008D51B2">
        <w:rPr>
          <w:bCs/>
        </w:rPr>
        <w:t>Vezano za naprijed navedeno, kad je u pitanju nekomercijalni karakter subjekta postoji trodijelni test, i to:</w:t>
      </w:r>
    </w:p>
    <w:p w14:paraId="6C296341" w14:textId="77777777" w:rsidR="00BB13C2" w:rsidRPr="008D51B2" w:rsidRDefault="00BB13C2" w:rsidP="00BB13C2">
      <w:pPr>
        <w:jc w:val="both"/>
        <w:rPr>
          <w:bCs/>
        </w:rPr>
      </w:pPr>
    </w:p>
    <w:p w14:paraId="0AD1B5DE" w14:textId="09FDBE62" w:rsidR="00BB13C2" w:rsidRPr="008D51B2" w:rsidRDefault="00BB13C2" w:rsidP="00BB13C2">
      <w:pPr>
        <w:jc w:val="both"/>
        <w:rPr>
          <w:bCs/>
        </w:rPr>
      </w:pPr>
      <w:r w:rsidRPr="008D51B2">
        <w:rPr>
          <w:bCs/>
        </w:rPr>
        <w:t>- Da li je sticanje profita osnovni cilj tog subjekta ?</w:t>
      </w:r>
    </w:p>
    <w:p w14:paraId="2A3AC5DD" w14:textId="72800998" w:rsidR="00BB13C2" w:rsidRPr="008D51B2" w:rsidRDefault="00BB13C2" w:rsidP="00BB13C2">
      <w:pPr>
        <w:jc w:val="both"/>
        <w:rPr>
          <w:bCs/>
        </w:rPr>
      </w:pPr>
      <w:r w:rsidRPr="008D51B2">
        <w:rPr>
          <w:bCs/>
        </w:rPr>
        <w:t>- Da li taj organ ima konkurenciju na tržištu ?</w:t>
      </w:r>
    </w:p>
    <w:p w14:paraId="2BC57C50" w14:textId="66E44A3E" w:rsidR="00BB13C2" w:rsidRPr="008D51B2" w:rsidRDefault="00BB13C2" w:rsidP="00BB13C2">
      <w:pPr>
        <w:jc w:val="both"/>
        <w:rPr>
          <w:bCs/>
        </w:rPr>
      </w:pPr>
      <w:r w:rsidRPr="008D51B2">
        <w:rPr>
          <w:bCs/>
        </w:rPr>
        <w:t>- Da li je moguće da bi država ili neki drugi upravni organ intervenisali u svrhu umanjivanja komercijalnog pritiska (na primjer kako bi time spriječili stečaj tog subjekta)?</w:t>
      </w:r>
    </w:p>
    <w:p w14:paraId="523ED869" w14:textId="77777777" w:rsidR="00BB13C2" w:rsidRPr="008D51B2" w:rsidRDefault="00BB13C2" w:rsidP="00BB13C2">
      <w:pPr>
        <w:jc w:val="both"/>
        <w:rPr>
          <w:bCs/>
        </w:rPr>
      </w:pPr>
    </w:p>
    <w:p w14:paraId="50011BB2" w14:textId="77777777" w:rsidR="00BB13C2" w:rsidRPr="008D51B2" w:rsidRDefault="00BB13C2" w:rsidP="00BB13C2">
      <w:pPr>
        <w:jc w:val="both"/>
        <w:rPr>
          <w:bCs/>
        </w:rPr>
      </w:pPr>
      <w:r w:rsidRPr="008D51B2">
        <w:rPr>
          <w:bCs/>
        </w:rPr>
        <w:t xml:space="preserve">Ako su odgovori na prva dva pitanja negativni, a odgovor na treće pitanje pozitivan onda taj subjekt nema komercijalni ili industrijski karakter i tim je obveznik primjene Zakona, naravno uzimajući u obzir i naprijed navedene tačke b) i c). </w:t>
      </w:r>
    </w:p>
    <w:p w14:paraId="5590568D" w14:textId="77777777" w:rsidR="00BB13C2" w:rsidRPr="008D51B2" w:rsidRDefault="00BB13C2" w:rsidP="00BB13C2">
      <w:pPr>
        <w:jc w:val="both"/>
        <w:rPr>
          <w:bCs/>
        </w:rPr>
      </w:pPr>
    </w:p>
    <w:p w14:paraId="1D5545BA" w14:textId="77777777" w:rsidR="00BB13C2" w:rsidRPr="008D51B2" w:rsidRDefault="00BB13C2" w:rsidP="00BB13C2">
      <w:pPr>
        <w:jc w:val="both"/>
        <w:rPr>
          <w:bCs/>
        </w:rPr>
      </w:pPr>
      <w:r w:rsidRPr="008D51B2">
        <w:rPr>
          <w:bCs/>
        </w:rPr>
        <w:t xml:space="preserve">Aneks III Direktive 2004/18  navodi tijela i kategorije tijela kojima upravlja javno pravo u zemljama članicama. </w:t>
      </w:r>
    </w:p>
    <w:p w14:paraId="6B60B6A0" w14:textId="77777777" w:rsidR="00BB13C2" w:rsidRPr="008D51B2" w:rsidRDefault="00BB13C2" w:rsidP="00BB13C2">
      <w:pPr>
        <w:jc w:val="both"/>
        <w:rPr>
          <w:bCs/>
        </w:rPr>
      </w:pPr>
    </w:p>
    <w:p w14:paraId="784B11F5" w14:textId="77777777" w:rsidR="00BB13C2" w:rsidRPr="008D51B2" w:rsidRDefault="00BB13C2" w:rsidP="00BB13C2">
      <w:pPr>
        <w:jc w:val="both"/>
        <w:rPr>
          <w:bCs/>
        </w:rPr>
      </w:pPr>
      <w:r w:rsidRPr="008D51B2">
        <w:rPr>
          <w:bCs/>
        </w:rPr>
        <w:t>Na listi su, između ostalih:</w:t>
      </w:r>
    </w:p>
    <w:p w14:paraId="72FCCB54" w14:textId="77777777" w:rsidR="00BB13C2" w:rsidRPr="008D51B2" w:rsidRDefault="00BB13C2" w:rsidP="00BB13C2">
      <w:pPr>
        <w:jc w:val="both"/>
        <w:rPr>
          <w:bCs/>
        </w:rPr>
      </w:pPr>
    </w:p>
    <w:p w14:paraId="671141EF" w14:textId="4D447B75" w:rsidR="00BB13C2" w:rsidRPr="008D51B2" w:rsidRDefault="00BB13C2" w:rsidP="00BB13C2">
      <w:pPr>
        <w:jc w:val="both"/>
        <w:rPr>
          <w:bCs/>
        </w:rPr>
      </w:pPr>
      <w:r w:rsidRPr="008D51B2">
        <w:rPr>
          <w:bCs/>
        </w:rPr>
        <w:t>-</w:t>
      </w:r>
      <w:r w:rsidR="00A11D7A" w:rsidRPr="008D51B2">
        <w:rPr>
          <w:bCs/>
        </w:rPr>
        <w:t xml:space="preserve"> </w:t>
      </w:r>
      <w:r w:rsidRPr="008D51B2">
        <w:rPr>
          <w:bCs/>
        </w:rPr>
        <w:t>državne (centralne) banke,</w:t>
      </w:r>
    </w:p>
    <w:p w14:paraId="1C1B67BC" w14:textId="74C7BFB5" w:rsidR="00BB13C2" w:rsidRPr="008D51B2" w:rsidRDefault="00BB13C2" w:rsidP="00BB13C2">
      <w:pPr>
        <w:jc w:val="both"/>
        <w:rPr>
          <w:bCs/>
        </w:rPr>
      </w:pPr>
      <w:r w:rsidRPr="008D51B2">
        <w:rPr>
          <w:bCs/>
        </w:rPr>
        <w:t>-</w:t>
      </w:r>
      <w:r w:rsidR="00A11D7A" w:rsidRPr="008D51B2">
        <w:rPr>
          <w:bCs/>
        </w:rPr>
        <w:t xml:space="preserve"> </w:t>
      </w:r>
      <w:r w:rsidRPr="008D51B2">
        <w:rPr>
          <w:bCs/>
        </w:rPr>
        <w:t>javni radio i televizijski emiteri,</w:t>
      </w:r>
    </w:p>
    <w:p w14:paraId="62675F14" w14:textId="182DF7A2" w:rsidR="00BB13C2" w:rsidRPr="008D51B2" w:rsidRDefault="00BB13C2" w:rsidP="00BB13C2">
      <w:pPr>
        <w:jc w:val="both"/>
        <w:rPr>
          <w:bCs/>
        </w:rPr>
      </w:pPr>
      <w:r w:rsidRPr="008D51B2">
        <w:rPr>
          <w:bCs/>
        </w:rPr>
        <w:t>-</w:t>
      </w:r>
      <w:r w:rsidR="00A11D7A" w:rsidRPr="008D51B2">
        <w:rPr>
          <w:bCs/>
        </w:rPr>
        <w:t xml:space="preserve"> </w:t>
      </w:r>
      <w:r w:rsidRPr="008D51B2">
        <w:rPr>
          <w:bCs/>
        </w:rPr>
        <w:t>univerziteti, javne škole,</w:t>
      </w:r>
    </w:p>
    <w:p w14:paraId="32B75C8E" w14:textId="28B18DB7" w:rsidR="00BB13C2" w:rsidRPr="008D51B2" w:rsidRDefault="00BB13C2" w:rsidP="00BB13C2">
      <w:pPr>
        <w:jc w:val="both"/>
        <w:rPr>
          <w:bCs/>
        </w:rPr>
      </w:pPr>
      <w:r w:rsidRPr="008D51B2">
        <w:rPr>
          <w:bCs/>
        </w:rPr>
        <w:t>-</w:t>
      </w:r>
      <w:r w:rsidR="00A11D7A" w:rsidRPr="008D51B2">
        <w:rPr>
          <w:bCs/>
        </w:rPr>
        <w:t xml:space="preserve"> </w:t>
      </w:r>
      <w:r w:rsidRPr="008D51B2">
        <w:rPr>
          <w:bCs/>
        </w:rPr>
        <w:t>državne akademije nauka i druge naučne ustanove,</w:t>
      </w:r>
    </w:p>
    <w:p w14:paraId="3F6688B4" w14:textId="2D2C6F25" w:rsidR="00BB13C2" w:rsidRPr="008D51B2" w:rsidRDefault="00BB13C2" w:rsidP="00BB13C2">
      <w:pPr>
        <w:jc w:val="both"/>
        <w:rPr>
          <w:bCs/>
        </w:rPr>
      </w:pPr>
      <w:r w:rsidRPr="008D51B2">
        <w:rPr>
          <w:bCs/>
        </w:rPr>
        <w:t>-</w:t>
      </w:r>
      <w:r w:rsidR="00A11D7A" w:rsidRPr="008D51B2">
        <w:rPr>
          <w:bCs/>
        </w:rPr>
        <w:t xml:space="preserve"> </w:t>
      </w:r>
      <w:r w:rsidRPr="008D51B2">
        <w:rPr>
          <w:bCs/>
        </w:rPr>
        <w:t>javne bolnice i druge zdravstvene ustanove,</w:t>
      </w:r>
    </w:p>
    <w:p w14:paraId="5B97486A" w14:textId="41B75E0C" w:rsidR="00BB13C2" w:rsidRPr="008D51B2" w:rsidRDefault="00BB13C2" w:rsidP="00BB13C2">
      <w:pPr>
        <w:jc w:val="both"/>
        <w:rPr>
          <w:bCs/>
        </w:rPr>
      </w:pPr>
      <w:r w:rsidRPr="008D51B2">
        <w:rPr>
          <w:bCs/>
        </w:rPr>
        <w:t>-</w:t>
      </w:r>
      <w:r w:rsidR="00A11D7A" w:rsidRPr="008D51B2">
        <w:rPr>
          <w:bCs/>
        </w:rPr>
        <w:t xml:space="preserve"> </w:t>
      </w:r>
      <w:r w:rsidRPr="008D51B2">
        <w:rPr>
          <w:bCs/>
        </w:rPr>
        <w:t>regionalne razvojne agencije,</w:t>
      </w:r>
    </w:p>
    <w:p w14:paraId="55C20158" w14:textId="346454FD" w:rsidR="00BB13C2" w:rsidRPr="008D51B2" w:rsidRDefault="00BB13C2" w:rsidP="00BB13C2">
      <w:pPr>
        <w:jc w:val="both"/>
        <w:rPr>
          <w:bCs/>
        </w:rPr>
      </w:pPr>
      <w:r w:rsidRPr="008D51B2">
        <w:rPr>
          <w:bCs/>
        </w:rPr>
        <w:t>-</w:t>
      </w:r>
      <w:r w:rsidR="00A11D7A" w:rsidRPr="008D51B2">
        <w:rPr>
          <w:bCs/>
        </w:rPr>
        <w:t xml:space="preserve"> </w:t>
      </w:r>
      <w:r w:rsidRPr="008D51B2">
        <w:rPr>
          <w:bCs/>
        </w:rPr>
        <w:t>regionalne turističke organizacije,</w:t>
      </w:r>
    </w:p>
    <w:p w14:paraId="0EBA69F5" w14:textId="65ACCA0D" w:rsidR="00BB13C2" w:rsidRPr="008D51B2" w:rsidRDefault="00BB13C2" w:rsidP="00BB13C2">
      <w:pPr>
        <w:jc w:val="both"/>
        <w:rPr>
          <w:bCs/>
        </w:rPr>
      </w:pPr>
      <w:r w:rsidRPr="008D51B2">
        <w:rPr>
          <w:bCs/>
        </w:rPr>
        <w:t>-</w:t>
      </w:r>
      <w:r w:rsidR="00A11D7A" w:rsidRPr="008D51B2">
        <w:rPr>
          <w:bCs/>
        </w:rPr>
        <w:t xml:space="preserve"> </w:t>
      </w:r>
      <w:r w:rsidRPr="008D51B2">
        <w:rPr>
          <w:bCs/>
        </w:rPr>
        <w:t>muzeji, galerije i javne biblioteke,</w:t>
      </w:r>
    </w:p>
    <w:p w14:paraId="207F9F71" w14:textId="3F772663" w:rsidR="00BB13C2" w:rsidRPr="008D51B2" w:rsidRDefault="00BB13C2" w:rsidP="00BB13C2">
      <w:pPr>
        <w:jc w:val="both"/>
        <w:rPr>
          <w:bCs/>
        </w:rPr>
      </w:pPr>
      <w:r w:rsidRPr="008D51B2">
        <w:rPr>
          <w:bCs/>
        </w:rPr>
        <w:t>-</w:t>
      </w:r>
      <w:r w:rsidR="00A11D7A" w:rsidRPr="008D51B2">
        <w:rPr>
          <w:bCs/>
        </w:rPr>
        <w:t xml:space="preserve"> </w:t>
      </w:r>
      <w:r w:rsidRPr="008D51B2">
        <w:rPr>
          <w:bCs/>
        </w:rPr>
        <w:t>državna pozorišta i opere,</w:t>
      </w:r>
    </w:p>
    <w:p w14:paraId="5B1477CF" w14:textId="3616F647" w:rsidR="00BB13C2" w:rsidRPr="008D51B2" w:rsidRDefault="00BB13C2" w:rsidP="00BB13C2">
      <w:pPr>
        <w:jc w:val="both"/>
        <w:rPr>
          <w:bCs/>
        </w:rPr>
      </w:pPr>
      <w:r w:rsidRPr="008D51B2">
        <w:rPr>
          <w:bCs/>
        </w:rPr>
        <w:t>-</w:t>
      </w:r>
      <w:r w:rsidR="00A11D7A" w:rsidRPr="008D51B2">
        <w:rPr>
          <w:bCs/>
        </w:rPr>
        <w:t xml:space="preserve"> </w:t>
      </w:r>
      <w:r w:rsidRPr="008D51B2">
        <w:rPr>
          <w:bCs/>
        </w:rPr>
        <w:t>javne fondacije,</w:t>
      </w:r>
    </w:p>
    <w:p w14:paraId="3B451E29" w14:textId="60DE75B1" w:rsidR="00BB13C2" w:rsidRPr="008D51B2" w:rsidRDefault="00BB13C2" w:rsidP="00BB13C2">
      <w:pPr>
        <w:jc w:val="both"/>
        <w:rPr>
          <w:bCs/>
        </w:rPr>
      </w:pPr>
      <w:r w:rsidRPr="008D51B2">
        <w:rPr>
          <w:bCs/>
        </w:rPr>
        <w:t>-</w:t>
      </w:r>
      <w:r w:rsidR="00A11D7A" w:rsidRPr="008D51B2">
        <w:rPr>
          <w:bCs/>
        </w:rPr>
        <w:t xml:space="preserve"> </w:t>
      </w:r>
      <w:r w:rsidRPr="008D51B2">
        <w:rPr>
          <w:bCs/>
        </w:rPr>
        <w:t>poljoprivredne organizacije.</w:t>
      </w:r>
    </w:p>
    <w:p w14:paraId="689C3D60" w14:textId="77777777" w:rsidR="00A11D7A" w:rsidRPr="008D51B2" w:rsidRDefault="00A11D7A" w:rsidP="00BB13C2">
      <w:pPr>
        <w:jc w:val="both"/>
        <w:rPr>
          <w:bCs/>
        </w:rPr>
      </w:pPr>
    </w:p>
    <w:p w14:paraId="33E620B7" w14:textId="5155EE1A" w:rsidR="00BB13C2" w:rsidRPr="008D51B2" w:rsidRDefault="00BB13C2" w:rsidP="00BB13C2">
      <w:pPr>
        <w:jc w:val="both"/>
        <w:rPr>
          <w:bCs/>
        </w:rPr>
      </w:pPr>
      <w:r w:rsidRPr="008D51B2">
        <w:rPr>
          <w:bCs/>
        </w:rPr>
        <w:t>Ova lista je navedena samo kao smjernica. Lista nije konačna, to znači da onda kada određena institucija odgovara opštoj definiciji, a nije uključena u spisak, ipak mora primjenjivati propise o javnim nabavkama (opšta definicija, a ne lista, je referentna u slučaju nesigurnosti). Ako određeno tijelo nije navedeno u aneksu III, njegova pravna i stvarna situacija mora se ispitati kako bi se ustanovilo da li on zadovoljava ili ne potrebe od opšteg interesa.</w:t>
      </w:r>
    </w:p>
    <w:p w14:paraId="1E81C8F3" w14:textId="77777777" w:rsidR="00BB13C2" w:rsidRPr="008D51B2" w:rsidRDefault="00BB13C2" w:rsidP="00BB13C2">
      <w:pPr>
        <w:jc w:val="both"/>
        <w:rPr>
          <w:bCs/>
        </w:rPr>
      </w:pPr>
    </w:p>
    <w:p w14:paraId="7406DC27" w14:textId="77777777" w:rsidR="00BB13C2" w:rsidRPr="008D51B2" w:rsidRDefault="00BB13C2" w:rsidP="00BB13C2">
      <w:pPr>
        <w:jc w:val="both"/>
        <w:rPr>
          <w:bCs/>
        </w:rPr>
      </w:pPr>
      <w:r w:rsidRPr="008D51B2">
        <w:rPr>
          <w:bCs/>
        </w:rPr>
        <w:t>Evropski sud pravde je već nekoliko puta imao raspravu o tome da li određena institucija potpada pod definiciju iz Direktive kojom se definira tijelo kojim upravlja javno pravo. Na primjer, Evropski sud pravde donio je odluku da slijedeće institucije potpadaju pod tu definiciju:</w:t>
      </w:r>
    </w:p>
    <w:p w14:paraId="4638C81E" w14:textId="77777777" w:rsidR="00BB13C2" w:rsidRPr="008D51B2" w:rsidRDefault="00BB13C2" w:rsidP="00BB13C2">
      <w:pPr>
        <w:jc w:val="both"/>
        <w:rPr>
          <w:bCs/>
        </w:rPr>
      </w:pPr>
    </w:p>
    <w:p w14:paraId="0E35F30A" w14:textId="77777777" w:rsidR="00BB13C2" w:rsidRPr="008D51B2" w:rsidRDefault="00BB13C2" w:rsidP="00BB13C2">
      <w:pPr>
        <w:jc w:val="both"/>
        <w:rPr>
          <w:bCs/>
        </w:rPr>
      </w:pPr>
      <w:r w:rsidRPr="008D51B2">
        <w:rPr>
          <w:bCs/>
        </w:rPr>
        <w:t xml:space="preserve">- finska kompanija, koju je osnovala, posjedovala i njome upravljala lokalna vlast, a koja  </w:t>
      </w:r>
    </w:p>
    <w:p w14:paraId="0B61FBCC" w14:textId="18D33E2B" w:rsidR="00BB13C2" w:rsidRPr="008D51B2" w:rsidRDefault="00BB13C2" w:rsidP="00BB13C2">
      <w:pPr>
        <w:jc w:val="both"/>
        <w:rPr>
          <w:bCs/>
        </w:rPr>
      </w:pPr>
      <w:r w:rsidRPr="008D51B2">
        <w:rPr>
          <w:bCs/>
        </w:rPr>
        <w:t xml:space="preserve">  promovira razvoj industrijskih ili komercijalnih aktivnosti;</w:t>
      </w:r>
    </w:p>
    <w:p w14:paraId="49056CDE" w14:textId="272DDB56" w:rsidR="00BB13C2" w:rsidRPr="008D51B2" w:rsidRDefault="00BB13C2" w:rsidP="00BB13C2">
      <w:pPr>
        <w:jc w:val="both"/>
        <w:rPr>
          <w:bCs/>
        </w:rPr>
      </w:pPr>
      <w:r w:rsidRPr="008D51B2">
        <w:rPr>
          <w:bCs/>
        </w:rPr>
        <w:t xml:space="preserve">- pogrebno društvo, austrijska opštinska kompanija; </w:t>
      </w:r>
    </w:p>
    <w:p w14:paraId="71606B38" w14:textId="77777777" w:rsidR="00BB13C2" w:rsidRPr="008D51B2" w:rsidRDefault="00BB13C2" w:rsidP="00BB13C2">
      <w:pPr>
        <w:jc w:val="both"/>
        <w:rPr>
          <w:bCs/>
        </w:rPr>
      </w:pPr>
      <w:r w:rsidRPr="008D51B2">
        <w:rPr>
          <w:bCs/>
        </w:rPr>
        <w:lastRenderedPageBreak/>
        <w:t xml:space="preserve">- španska komercijalna kompanija u vlasništvu države, uspostavljenja u svrhu izgradnje novih  </w:t>
      </w:r>
    </w:p>
    <w:p w14:paraId="702E5D7B" w14:textId="050094CC" w:rsidR="00BB13C2" w:rsidRPr="008D51B2" w:rsidRDefault="00BB13C2" w:rsidP="00BB13C2">
      <w:pPr>
        <w:jc w:val="both"/>
        <w:rPr>
          <w:bCs/>
        </w:rPr>
      </w:pPr>
      <w:r w:rsidRPr="008D51B2">
        <w:rPr>
          <w:bCs/>
        </w:rPr>
        <w:t xml:space="preserve">  zatvora;</w:t>
      </w:r>
    </w:p>
    <w:p w14:paraId="3DC539E9" w14:textId="448FBCAF" w:rsidR="00BB13C2" w:rsidRPr="008D51B2" w:rsidRDefault="00BB13C2" w:rsidP="00BB13C2">
      <w:pPr>
        <w:jc w:val="both"/>
        <w:rPr>
          <w:bCs/>
        </w:rPr>
      </w:pPr>
      <w:r w:rsidRPr="008D51B2">
        <w:rPr>
          <w:bCs/>
        </w:rPr>
        <w:t>- britanski univerziteti;</w:t>
      </w:r>
    </w:p>
    <w:p w14:paraId="524B6DCB" w14:textId="7DDDDF1F" w:rsidR="00BB13C2" w:rsidRPr="008D51B2" w:rsidRDefault="00BB13C2" w:rsidP="00BB13C2">
      <w:pPr>
        <w:jc w:val="both"/>
        <w:rPr>
          <w:bCs/>
        </w:rPr>
      </w:pPr>
      <w:r w:rsidRPr="008D51B2">
        <w:rPr>
          <w:bCs/>
        </w:rPr>
        <w:t>- austrijska kompanija za otpad i kanalizaciju;</w:t>
      </w:r>
    </w:p>
    <w:p w14:paraId="32BFEFE5" w14:textId="7E33289F" w:rsidR="00BB13C2" w:rsidRPr="008D51B2" w:rsidRDefault="00BB13C2" w:rsidP="00BB13C2">
      <w:pPr>
        <w:jc w:val="both"/>
        <w:rPr>
          <w:bCs/>
        </w:rPr>
      </w:pPr>
      <w:r w:rsidRPr="008D51B2">
        <w:rPr>
          <w:bCs/>
        </w:rPr>
        <w:t>- francuske niskobudžetne stambene korporacije i zadruge;</w:t>
      </w:r>
    </w:p>
    <w:p w14:paraId="0862F44B" w14:textId="10E82E77" w:rsidR="00BB13C2" w:rsidRPr="008D51B2" w:rsidRDefault="00BB13C2" w:rsidP="00BB13C2">
      <w:pPr>
        <w:jc w:val="both"/>
        <w:rPr>
          <w:bCs/>
        </w:rPr>
      </w:pPr>
      <w:r w:rsidRPr="008D51B2">
        <w:rPr>
          <w:bCs/>
        </w:rPr>
        <w:t>- irsko državno šumsko gazdinstvo;</w:t>
      </w:r>
    </w:p>
    <w:p w14:paraId="57429B64" w14:textId="232C322B" w:rsidR="00BB13C2" w:rsidRPr="008D51B2" w:rsidRDefault="00BB13C2" w:rsidP="00BB13C2">
      <w:pPr>
        <w:jc w:val="both"/>
        <w:rPr>
          <w:bCs/>
        </w:rPr>
      </w:pPr>
      <w:r w:rsidRPr="008D51B2">
        <w:rPr>
          <w:bCs/>
        </w:rPr>
        <w:t>- holandska opštinska kompanija za prikupljanje otpada i čišćenje lokalnih puteva i cesta;</w:t>
      </w:r>
    </w:p>
    <w:p w14:paraId="3150235F" w14:textId="59F72C03" w:rsidR="00BB13C2" w:rsidRPr="008D51B2" w:rsidRDefault="00BB13C2" w:rsidP="00BB13C2">
      <w:pPr>
        <w:jc w:val="both"/>
        <w:rPr>
          <w:bCs/>
        </w:rPr>
      </w:pPr>
      <w:r w:rsidRPr="008D51B2">
        <w:rPr>
          <w:bCs/>
        </w:rPr>
        <w:t>- austrijska državna štamparija.</w:t>
      </w:r>
    </w:p>
    <w:p w14:paraId="6A69B765" w14:textId="77777777" w:rsidR="00BB13C2" w:rsidRPr="008D51B2" w:rsidRDefault="00BB13C2" w:rsidP="00BB13C2">
      <w:pPr>
        <w:jc w:val="both"/>
        <w:rPr>
          <w:bCs/>
        </w:rPr>
      </w:pPr>
    </w:p>
    <w:p w14:paraId="74AD8D42" w14:textId="77777777" w:rsidR="00BB13C2" w:rsidRPr="008D51B2" w:rsidRDefault="00BB13C2" w:rsidP="00BB13C2">
      <w:pPr>
        <w:jc w:val="both"/>
        <w:rPr>
          <w:bCs/>
        </w:rPr>
      </w:pPr>
      <w:r w:rsidRPr="008D51B2">
        <w:rPr>
          <w:bCs/>
        </w:rPr>
        <w:t>Što se tiče uslova iz tačke b), isti nije potrebno komentarisati.</w:t>
      </w:r>
    </w:p>
    <w:p w14:paraId="41110893" w14:textId="77777777" w:rsidR="00BB13C2" w:rsidRPr="008D51B2" w:rsidRDefault="00BB13C2" w:rsidP="00BB13C2">
      <w:pPr>
        <w:jc w:val="both"/>
        <w:rPr>
          <w:bCs/>
        </w:rPr>
      </w:pPr>
    </w:p>
    <w:p w14:paraId="4582C2F3" w14:textId="77777777" w:rsidR="00BB13C2" w:rsidRPr="008D51B2" w:rsidRDefault="00BB13C2" w:rsidP="00BB13C2">
      <w:pPr>
        <w:jc w:val="both"/>
        <w:rPr>
          <w:bCs/>
        </w:rPr>
      </w:pPr>
      <w:r w:rsidRPr="008D51B2">
        <w:rPr>
          <w:bCs/>
        </w:rPr>
        <w:t xml:space="preserve">Što se tiče uslova iz tačke c) pojašnjenja su slijedeća: </w:t>
      </w:r>
    </w:p>
    <w:p w14:paraId="447DAC0F" w14:textId="77777777" w:rsidR="00BB13C2" w:rsidRPr="008D51B2" w:rsidRDefault="00BB13C2" w:rsidP="00BB13C2">
      <w:pPr>
        <w:jc w:val="both"/>
        <w:rPr>
          <w:bCs/>
        </w:rPr>
      </w:pPr>
    </w:p>
    <w:p w14:paraId="243E95BD" w14:textId="77777777" w:rsidR="00BB13C2" w:rsidRPr="008D51B2" w:rsidRDefault="00BB13C2" w:rsidP="00BB13C2">
      <w:pPr>
        <w:jc w:val="both"/>
        <w:rPr>
          <w:bCs/>
        </w:rPr>
      </w:pPr>
      <w:r w:rsidRPr="008D51B2">
        <w:rPr>
          <w:bCs/>
        </w:rPr>
        <w:t>Za značenje izraza ''većinskim dijelom finansiraju'' dovoljno je reći da je to jednako finansiranju od više od 50%. Pojam finansiranja uključuje samo ono plaćanje koje će stvoriti ili ojačati zavisni odnos između tog subjekta i ugovornog organa koji vrši plaćanje. Tako se plaćanja koja su rezultat redovnog komercijalnog odnosa ne uzimaju u obzir prilikom određivanja navedenih 50%.</w:t>
      </w:r>
    </w:p>
    <w:p w14:paraId="100348C8" w14:textId="77777777" w:rsidR="00BB13C2" w:rsidRPr="008D51B2" w:rsidRDefault="00BB13C2" w:rsidP="00BB13C2">
      <w:pPr>
        <w:jc w:val="both"/>
        <w:rPr>
          <w:bCs/>
        </w:rPr>
      </w:pPr>
    </w:p>
    <w:p w14:paraId="690BE151" w14:textId="77777777" w:rsidR="00BB13C2" w:rsidRPr="008D51B2" w:rsidRDefault="00BB13C2" w:rsidP="00BB13C2">
      <w:pPr>
        <w:jc w:val="both"/>
        <w:rPr>
          <w:bCs/>
        </w:rPr>
      </w:pPr>
      <w:r w:rsidRPr="008D51B2">
        <w:rPr>
          <w:bCs/>
        </w:rPr>
        <w:t>Značenje izraza ''nadzor nad upravljanjem'' zahtjeva određeni nivo nadzora koji omogućava ugovornom organu uticaj na odluke o javnim ugovorima subjekta koji je pod nadzorom. Taj nivo nadzora ne zahtjeva neophodno ovlasti formalnog uplitanja u odluke uprave tog subjekta.</w:t>
      </w:r>
    </w:p>
    <w:p w14:paraId="07CFD744" w14:textId="77777777" w:rsidR="00BB13C2" w:rsidRPr="008D51B2" w:rsidRDefault="00BB13C2" w:rsidP="00BB13C2">
      <w:pPr>
        <w:jc w:val="both"/>
        <w:rPr>
          <w:bCs/>
        </w:rPr>
      </w:pPr>
    </w:p>
    <w:p w14:paraId="4B820253" w14:textId="77777777" w:rsidR="00BB13C2" w:rsidRPr="008D51B2" w:rsidRDefault="00BB13C2" w:rsidP="00BB13C2">
      <w:pPr>
        <w:jc w:val="both"/>
        <w:rPr>
          <w:bCs/>
        </w:rPr>
      </w:pPr>
      <w:r w:rsidRPr="008D51B2">
        <w:rPr>
          <w:bCs/>
        </w:rPr>
        <w:t>Isto objašnjenje se nalazi i u trećem slučaju, tj. imenovanja više od polovine članova upravnog, upravljačkog ili nadzornog odbora tog subjekta od strane drugog ugovornog organa. U tom slučaju postoji nesumnjiva pretpostavka da ugovorni organ ima određeni uticaj na taj organ.</w:t>
      </w:r>
    </w:p>
    <w:p w14:paraId="55A013F3" w14:textId="77777777" w:rsidR="00BB13C2" w:rsidRPr="008D51B2" w:rsidRDefault="00BB13C2" w:rsidP="00BB13C2">
      <w:pPr>
        <w:jc w:val="both"/>
        <w:rPr>
          <w:bCs/>
        </w:rPr>
      </w:pPr>
    </w:p>
    <w:p w14:paraId="792A3D65" w14:textId="395A3578" w:rsidR="00BB13C2" w:rsidRPr="008D51B2" w:rsidRDefault="00BB13C2" w:rsidP="00BB13C2">
      <w:pPr>
        <w:jc w:val="both"/>
        <w:rPr>
          <w:bCs/>
        </w:rPr>
      </w:pPr>
      <w:r w:rsidRPr="008D51B2">
        <w:rPr>
          <w:bCs/>
        </w:rPr>
        <w:t xml:space="preserve">Dakle, čak i ako ugovorni organ uz svoju obavezu zadovoljavanja potreba od javnog interesa </w:t>
      </w:r>
      <w:r w:rsidR="00304593">
        <w:rPr>
          <w:bCs/>
        </w:rPr>
        <w:t>provodi</w:t>
      </w:r>
      <w:r w:rsidRPr="008D51B2">
        <w:rPr>
          <w:bCs/>
        </w:rPr>
        <w:t xml:space="preserve"> i druge aktivnosti kao što su komercijalne ili industrijske aktivnosti, on i dalje ima obavezu da</w:t>
      </w:r>
      <w:r w:rsidR="00304593">
        <w:rPr>
          <w:bCs/>
        </w:rPr>
        <w:t xml:space="preserve"> provodi </w:t>
      </w:r>
      <w:r w:rsidRPr="008D51B2">
        <w:rPr>
          <w:bCs/>
        </w:rPr>
        <w:t xml:space="preserve"> svoje nabavke u skladu sa Zakonom. </w:t>
      </w:r>
    </w:p>
    <w:p w14:paraId="64825003" w14:textId="77777777" w:rsidR="00BB13C2" w:rsidRPr="008D51B2" w:rsidRDefault="00BB13C2" w:rsidP="00BB13C2">
      <w:pPr>
        <w:jc w:val="both"/>
        <w:rPr>
          <w:bCs/>
        </w:rPr>
      </w:pPr>
    </w:p>
    <w:p w14:paraId="776B404C" w14:textId="77777777" w:rsidR="006661CD" w:rsidRPr="008D51B2" w:rsidRDefault="00BB13C2" w:rsidP="00BB13C2">
      <w:pPr>
        <w:jc w:val="both"/>
        <w:rPr>
          <w:bCs/>
        </w:rPr>
      </w:pPr>
      <w:r w:rsidRPr="008D51B2">
        <w:rPr>
          <w:bCs/>
        </w:rPr>
        <w:t xml:space="preserve">Osnova za takvo tumačenje se također može pronaći u direktivama Evropske unije o javnim nabavkama koje sadrže iste definicije “subjekta koji podliježe odredbama Zakona” kao i određene presude Evropskog suda pravde. </w:t>
      </w:r>
    </w:p>
    <w:p w14:paraId="3F88FE6A" w14:textId="77777777" w:rsidR="006661CD" w:rsidRPr="008D51B2" w:rsidRDefault="006661CD" w:rsidP="00BB13C2">
      <w:pPr>
        <w:jc w:val="both"/>
        <w:rPr>
          <w:bCs/>
        </w:rPr>
      </w:pPr>
    </w:p>
    <w:p w14:paraId="76447AE6" w14:textId="688E8B75" w:rsidR="00BB13C2" w:rsidRPr="008D51B2" w:rsidRDefault="00BB13C2" w:rsidP="00BB13C2">
      <w:pPr>
        <w:jc w:val="both"/>
        <w:rPr>
          <w:bCs/>
        </w:rPr>
      </w:pPr>
      <w:r w:rsidRPr="008D51B2">
        <w:rPr>
          <w:bCs/>
        </w:rPr>
        <w:t>Na primjer, u slučaju C – 44/96 “Mannesmann” Evropski sud pravde navodi da “činjenica da taj segment zadovoljenja potreba od javnog interesa zauzima relativno mali dio ukupnih aktivnosti tog subjekta nije relevantna, pod uslovom da subjekat i dalje zadovoljava potrebe koje se od njega zahtijevaju” i “status subjekta koji podliježe odredbama Zakona ne zavisi od relativnog značaja, unutar njegovog cjelokupnog poslovanja, vezanog za zadovoljenje potreba od općeg interesa koje nemaju industrijski ili komercijalni karakter.” Ovo mišljenje je kasnije potkrijepljeno i odlukama donesenim nakon ovog slučaja (npr. C – 360/96 “BFI – Holding”).</w:t>
      </w:r>
    </w:p>
    <w:p w14:paraId="3C2BB467" w14:textId="77777777" w:rsidR="00BB13C2" w:rsidRPr="008D51B2" w:rsidRDefault="00BB13C2" w:rsidP="00BB13C2">
      <w:pPr>
        <w:jc w:val="both"/>
        <w:rPr>
          <w:bCs/>
        </w:rPr>
      </w:pPr>
    </w:p>
    <w:p w14:paraId="73B4AE27" w14:textId="116A3C65" w:rsidR="00BB13C2" w:rsidRPr="008D51B2" w:rsidRDefault="00BB13C2"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51B2">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Zakon u članu 5. definiše sektorske ugovorne organe kao obveznike primjene ovog zakona ukoliko obavljaju djelatnosti na području vodosnabdjevanja, energetike, prometa i poštanskih usluga.</w:t>
      </w:r>
    </w:p>
    <w:p w14:paraId="758A0D18" w14:textId="77777777" w:rsidR="00BB13C2" w:rsidRPr="008D51B2" w:rsidRDefault="00BB13C2" w:rsidP="00BB13C2">
      <w:pPr>
        <w:jc w:val="both"/>
        <w:rPr>
          <w:bCs/>
        </w:rPr>
      </w:pPr>
    </w:p>
    <w:p w14:paraId="4C254688" w14:textId="77777777" w:rsidR="00BB13C2" w:rsidRPr="008D51B2" w:rsidRDefault="00BB13C2" w:rsidP="00BB13C2">
      <w:pPr>
        <w:jc w:val="both"/>
        <w:rPr>
          <w:bCs/>
        </w:rPr>
      </w:pPr>
      <w:r w:rsidRPr="008D51B2">
        <w:rPr>
          <w:bCs/>
        </w:rPr>
        <w:t xml:space="preserve">Također, članom 2. stav (1) tačka a) Pravilnika sa popisom ugovornih organa po kategorijama koji su obavezni primjenjivati Zakon o javnim nabavkama („Službeni glasnik BiH“, broj 21/15) </w:t>
      </w:r>
      <w:r w:rsidRPr="008D51B2">
        <w:rPr>
          <w:bCs/>
        </w:rPr>
        <w:lastRenderedPageBreak/>
        <w:t>određeno je da je sektorski ugovorni organ obveznik primjene ovog zakona ukoliko obavlja djelatnosti na području vodosnabdjevanja, energetike, prometa i poštanskih usluga, i to:</w:t>
      </w:r>
    </w:p>
    <w:p w14:paraId="4D0FB023" w14:textId="77777777" w:rsidR="00BB13C2" w:rsidRPr="008D51B2" w:rsidRDefault="00BB13C2" w:rsidP="00BB13C2">
      <w:pPr>
        <w:jc w:val="both"/>
        <w:rPr>
          <w:bCs/>
        </w:rPr>
      </w:pPr>
    </w:p>
    <w:p w14:paraId="6DE51BA8" w14:textId="10B2A1FA" w:rsidR="00BB13C2" w:rsidRPr="008D51B2" w:rsidRDefault="00BB13C2" w:rsidP="00BB13C2">
      <w:pPr>
        <w:jc w:val="both"/>
        <w:rPr>
          <w:bCs/>
        </w:rPr>
      </w:pPr>
      <w:r w:rsidRPr="008D51B2">
        <w:rPr>
          <w:bCs/>
        </w:rPr>
        <w:t>1) Djelatnost luka – morskih ili riječnih luka idruga terminalna oprema,</w:t>
      </w:r>
    </w:p>
    <w:p w14:paraId="09630049" w14:textId="0AC4BF1F" w:rsidR="00BB13C2" w:rsidRPr="008D51B2" w:rsidRDefault="00BB13C2" w:rsidP="00BB13C2">
      <w:pPr>
        <w:jc w:val="both"/>
        <w:rPr>
          <w:bCs/>
        </w:rPr>
      </w:pPr>
      <w:r w:rsidRPr="008D51B2">
        <w:rPr>
          <w:bCs/>
        </w:rPr>
        <w:t>2) Djelatnost vazdušne luke,</w:t>
      </w:r>
    </w:p>
    <w:p w14:paraId="360E9490" w14:textId="3A22B1E9" w:rsidR="00BB13C2" w:rsidRPr="008D51B2" w:rsidRDefault="00BB13C2" w:rsidP="00BB13C2">
      <w:pPr>
        <w:jc w:val="both"/>
        <w:rPr>
          <w:bCs/>
        </w:rPr>
      </w:pPr>
      <w:r w:rsidRPr="008D51B2">
        <w:rPr>
          <w:bCs/>
        </w:rPr>
        <w:t>3) Električna energija,</w:t>
      </w:r>
    </w:p>
    <w:p w14:paraId="686619F3" w14:textId="625F0085" w:rsidR="00BB13C2" w:rsidRPr="008D51B2" w:rsidRDefault="00BB13C2" w:rsidP="00BB13C2">
      <w:pPr>
        <w:jc w:val="both"/>
        <w:rPr>
          <w:bCs/>
        </w:rPr>
      </w:pPr>
      <w:r w:rsidRPr="008D51B2">
        <w:rPr>
          <w:bCs/>
        </w:rPr>
        <w:t>4) Poštanske usluge,</w:t>
      </w:r>
    </w:p>
    <w:p w14:paraId="2FFE5D9D" w14:textId="36D76EF3" w:rsidR="00BB13C2" w:rsidRPr="008D51B2" w:rsidRDefault="00BB13C2" w:rsidP="00BB13C2">
      <w:pPr>
        <w:jc w:val="both"/>
        <w:rPr>
          <w:bCs/>
        </w:rPr>
      </w:pPr>
      <w:r w:rsidRPr="008D51B2">
        <w:rPr>
          <w:bCs/>
        </w:rPr>
        <w:t>5) Prenos ili distribucija plina ili toplotne energije,</w:t>
      </w:r>
    </w:p>
    <w:p w14:paraId="4C5A1DCF" w14:textId="77D234EE" w:rsidR="00BB13C2" w:rsidRPr="008D51B2" w:rsidRDefault="00BB13C2" w:rsidP="00BB13C2">
      <w:pPr>
        <w:jc w:val="both"/>
        <w:rPr>
          <w:bCs/>
        </w:rPr>
      </w:pPr>
      <w:r w:rsidRPr="008D51B2">
        <w:rPr>
          <w:bCs/>
        </w:rPr>
        <w:t>6) Traženje i vađenje nafte ili plina,</w:t>
      </w:r>
    </w:p>
    <w:p w14:paraId="38367CDE" w14:textId="46E36865" w:rsidR="00BB13C2" w:rsidRPr="008D51B2" w:rsidRDefault="00BB13C2" w:rsidP="00BB13C2">
      <w:pPr>
        <w:jc w:val="both"/>
        <w:rPr>
          <w:bCs/>
        </w:rPr>
      </w:pPr>
      <w:r w:rsidRPr="008D51B2">
        <w:rPr>
          <w:bCs/>
        </w:rPr>
        <w:t>7) Traženje i vađenje uglja i drugih čvrstih goriva,</w:t>
      </w:r>
    </w:p>
    <w:p w14:paraId="1D61355B" w14:textId="4283AA7F" w:rsidR="00BB13C2" w:rsidRPr="008D51B2" w:rsidRDefault="00BB13C2" w:rsidP="00BB13C2">
      <w:pPr>
        <w:jc w:val="both"/>
        <w:rPr>
          <w:bCs/>
        </w:rPr>
      </w:pPr>
      <w:r w:rsidRPr="008D51B2">
        <w:rPr>
          <w:bCs/>
        </w:rPr>
        <w:t>8) Usluge gradske željeznice, tramvaja, trolejbusa, autobusa ili žičare,</w:t>
      </w:r>
    </w:p>
    <w:p w14:paraId="35489C55" w14:textId="767C8F11" w:rsidR="00BB13C2" w:rsidRPr="008D51B2" w:rsidRDefault="00BB13C2" w:rsidP="00BB13C2">
      <w:pPr>
        <w:jc w:val="both"/>
        <w:rPr>
          <w:bCs/>
        </w:rPr>
      </w:pPr>
      <w:r w:rsidRPr="008D51B2">
        <w:rPr>
          <w:bCs/>
        </w:rPr>
        <w:t>9) Vodosnabdijevanje,</w:t>
      </w:r>
    </w:p>
    <w:p w14:paraId="3DA22C2A" w14:textId="6925893B" w:rsidR="00BB13C2" w:rsidRPr="008D51B2" w:rsidRDefault="00BB13C2" w:rsidP="00BB13C2">
      <w:pPr>
        <w:jc w:val="both"/>
        <w:rPr>
          <w:bCs/>
        </w:rPr>
      </w:pPr>
      <w:r w:rsidRPr="008D51B2">
        <w:rPr>
          <w:bCs/>
        </w:rPr>
        <w:t>10) Željezničke usluge.</w:t>
      </w:r>
    </w:p>
    <w:p w14:paraId="11852572" w14:textId="77777777" w:rsidR="00BB13C2" w:rsidRPr="008D51B2" w:rsidRDefault="00BB13C2" w:rsidP="00BB13C2">
      <w:pPr>
        <w:jc w:val="both"/>
        <w:rPr>
          <w:bCs/>
        </w:rPr>
      </w:pPr>
    </w:p>
    <w:p w14:paraId="3BFA4641" w14:textId="77777777" w:rsidR="00BB13C2" w:rsidRPr="008D51B2" w:rsidRDefault="00BB13C2" w:rsidP="00BB13C2">
      <w:pPr>
        <w:jc w:val="both"/>
        <w:rPr>
          <w:bCs/>
        </w:rPr>
      </w:pPr>
      <w:r w:rsidRPr="008D51B2">
        <w:rPr>
          <w:bCs/>
        </w:rPr>
        <w:t>Naprijed navedeno definisanje sektorskih ugovornih organa je u skladu sa Direktivom 2004/17 koja definiše postupke javnih nabavki u komunalnom sektoru.</w:t>
      </w:r>
    </w:p>
    <w:p w14:paraId="0B65FC2A" w14:textId="77777777" w:rsidR="00BB13C2" w:rsidRPr="008D51B2" w:rsidRDefault="00BB13C2" w:rsidP="00BB13C2">
      <w:pPr>
        <w:jc w:val="both"/>
        <w:rPr>
          <w:bCs/>
        </w:rPr>
      </w:pPr>
    </w:p>
    <w:p w14:paraId="628794D9" w14:textId="77777777" w:rsidR="00BB13C2" w:rsidRPr="008D51B2" w:rsidRDefault="00BB13C2" w:rsidP="00BB13C2">
      <w:pPr>
        <w:jc w:val="both"/>
        <w:rPr>
          <w:bCs/>
        </w:rPr>
      </w:pPr>
      <w:r w:rsidRPr="008D51B2">
        <w:rPr>
          <w:bCs/>
        </w:rPr>
        <w:t>Naime, član 3. do 7. Direktive 2004/17 navodi aktivnosti koje spadaju u komunalni sektor i koje se mogu podijeliti u dvije kategorije, i to</w:t>
      </w:r>
    </w:p>
    <w:p w14:paraId="06662E83" w14:textId="77777777" w:rsidR="00BB13C2" w:rsidRPr="008D51B2" w:rsidRDefault="00BB13C2" w:rsidP="00BB13C2">
      <w:pPr>
        <w:jc w:val="both"/>
        <w:rPr>
          <w:bCs/>
        </w:rPr>
      </w:pPr>
    </w:p>
    <w:p w14:paraId="19131DBA" w14:textId="600E9BA9" w:rsidR="00BB13C2" w:rsidRPr="008D51B2" w:rsidRDefault="00BB13C2" w:rsidP="00BB13C2">
      <w:pPr>
        <w:jc w:val="both"/>
        <w:rPr>
          <w:bCs/>
        </w:rPr>
      </w:pPr>
      <w:r w:rsidRPr="008D51B2">
        <w:rPr>
          <w:bCs/>
        </w:rPr>
        <w:t>1.Kada se usluge pružaju putem ustaljene tehničke mreže čije postojanje ograničava konkurenciju. U praksi, čak i kad nema legalnog monopola, malo je vjerovatno da će se druga kompanija pojaviti na tržištu. To su slijedeće aktivnosti:</w:t>
      </w:r>
    </w:p>
    <w:p w14:paraId="0D681CA6" w14:textId="77777777" w:rsidR="00BB13C2" w:rsidRPr="008D51B2" w:rsidRDefault="00BB13C2" w:rsidP="00BB13C2">
      <w:pPr>
        <w:jc w:val="both"/>
        <w:rPr>
          <w:bCs/>
        </w:rPr>
      </w:pPr>
    </w:p>
    <w:p w14:paraId="6E1FC8FE" w14:textId="7DFB7F46" w:rsidR="00BB13C2" w:rsidRPr="008D51B2" w:rsidRDefault="00BB13C2" w:rsidP="00BB13C2">
      <w:pPr>
        <w:jc w:val="both"/>
        <w:rPr>
          <w:bCs/>
        </w:rPr>
      </w:pPr>
      <w:r w:rsidRPr="008D51B2">
        <w:rPr>
          <w:bCs/>
        </w:rPr>
        <w:t>a) Proizvodnja, prevoz i distribucija plina, grijanja i struje i održavanje mreža koje su za to namijenjene;</w:t>
      </w:r>
    </w:p>
    <w:p w14:paraId="546EBD6C" w14:textId="44FCD50D" w:rsidR="00BB13C2" w:rsidRPr="008D51B2" w:rsidRDefault="00BB13C2" w:rsidP="00BB13C2">
      <w:pPr>
        <w:jc w:val="both"/>
        <w:rPr>
          <w:bCs/>
        </w:rPr>
      </w:pPr>
      <w:r w:rsidRPr="008D51B2">
        <w:rPr>
          <w:bCs/>
        </w:rPr>
        <w:t>b) Proizvodnja, prevoz i distribucija pitke vode i održavanje tih mreža;</w:t>
      </w:r>
    </w:p>
    <w:p w14:paraId="3765A988" w14:textId="5F6C6C0B" w:rsidR="00BB13C2" w:rsidRPr="008D51B2" w:rsidRDefault="00BB13C2" w:rsidP="00BB13C2">
      <w:pPr>
        <w:jc w:val="both"/>
        <w:rPr>
          <w:bCs/>
        </w:rPr>
      </w:pPr>
      <w:r w:rsidRPr="008D51B2">
        <w:rPr>
          <w:bCs/>
        </w:rPr>
        <w:t>c) Aktivnosti koje se odnose na pružanje i održavanje mreža koje pružaju usluge na polju transporta (željeznice, tramvaji, trolejbusi).</w:t>
      </w:r>
    </w:p>
    <w:p w14:paraId="5225A351" w14:textId="77777777" w:rsidR="00BB13C2" w:rsidRPr="008D51B2" w:rsidRDefault="00BB13C2" w:rsidP="00BB13C2">
      <w:pPr>
        <w:jc w:val="both"/>
        <w:rPr>
          <w:bCs/>
        </w:rPr>
      </w:pPr>
    </w:p>
    <w:p w14:paraId="08F73D43" w14:textId="5D79DBFA" w:rsidR="00BB13C2" w:rsidRPr="008D51B2" w:rsidRDefault="00BB13C2" w:rsidP="00BB13C2">
      <w:pPr>
        <w:jc w:val="both"/>
        <w:rPr>
          <w:bCs/>
        </w:rPr>
      </w:pPr>
      <w:r w:rsidRPr="008D51B2">
        <w:rPr>
          <w:bCs/>
        </w:rPr>
        <w:t>2.Kada vlade ograniče broj kompanija koje imaju ovlasti da sprovode određene aktivnosti, i to:</w:t>
      </w:r>
    </w:p>
    <w:p w14:paraId="0FF5D6DC" w14:textId="77777777" w:rsidR="00BB13C2" w:rsidRPr="008D51B2" w:rsidRDefault="00BB13C2" w:rsidP="00BB13C2">
      <w:pPr>
        <w:jc w:val="both"/>
        <w:rPr>
          <w:bCs/>
        </w:rPr>
      </w:pPr>
    </w:p>
    <w:p w14:paraId="65406D24" w14:textId="38BF78FE" w:rsidR="00BB13C2" w:rsidRPr="008D51B2" w:rsidRDefault="00BB13C2" w:rsidP="00BB13C2">
      <w:pPr>
        <w:jc w:val="both"/>
        <w:rPr>
          <w:bCs/>
        </w:rPr>
      </w:pPr>
      <w:r w:rsidRPr="008D51B2">
        <w:rPr>
          <w:bCs/>
        </w:rPr>
        <w:t>a) Poštanske usluge;</w:t>
      </w:r>
    </w:p>
    <w:p w14:paraId="73A7F942" w14:textId="7C92ABB4" w:rsidR="00BB13C2" w:rsidRPr="008D51B2" w:rsidRDefault="00BB13C2" w:rsidP="00BB13C2">
      <w:pPr>
        <w:jc w:val="both"/>
        <w:rPr>
          <w:bCs/>
        </w:rPr>
      </w:pPr>
      <w:r w:rsidRPr="008D51B2">
        <w:rPr>
          <w:bCs/>
        </w:rPr>
        <w:t>b) Istraživanje i vađenje nafte, uglja i drugih čvrstih goriva;</w:t>
      </w:r>
    </w:p>
    <w:p w14:paraId="0E124A7F" w14:textId="1548427C" w:rsidR="00BB13C2" w:rsidRPr="008D51B2" w:rsidRDefault="00BB13C2" w:rsidP="00BB13C2">
      <w:pPr>
        <w:jc w:val="both"/>
        <w:rPr>
          <w:bCs/>
        </w:rPr>
      </w:pPr>
      <w:r w:rsidRPr="008D51B2">
        <w:rPr>
          <w:bCs/>
        </w:rPr>
        <w:t>c) Održavanje aerodroma, morskih i riječnih luka.</w:t>
      </w:r>
    </w:p>
    <w:p w14:paraId="6EC0A4CE" w14:textId="77777777" w:rsidR="00BB13C2" w:rsidRPr="008D51B2" w:rsidRDefault="00BB13C2" w:rsidP="00BB13C2">
      <w:pPr>
        <w:jc w:val="both"/>
        <w:rPr>
          <w:bCs/>
        </w:rPr>
      </w:pPr>
    </w:p>
    <w:p w14:paraId="6F7F554A" w14:textId="77777777" w:rsidR="00BB13C2" w:rsidRPr="008D51B2" w:rsidRDefault="00BB13C2" w:rsidP="00BB13C2">
      <w:pPr>
        <w:jc w:val="both"/>
        <w:rPr>
          <w:bCs/>
        </w:rPr>
      </w:pPr>
      <w:r w:rsidRPr="008D51B2">
        <w:rPr>
          <w:bCs/>
        </w:rPr>
        <w:t>Direktiva 2004/17 koja koordinira postupke nabavki za komunalni sektor pokriva ne samo javne organe, već uključuje i privatne kompanije, koje nisu direktno finansirane iz javnih sredstava. Organi koji djeluju u komunalnom sektoru ne djeluju u normalnim tržišnim okolnostima, zbog zatvorene prirode njihovih tržišta (monopol ili oligopol), ili zbog posebnih ili ekskluzivnih prava koja im dodijele državni organi. Pravni ili tehnički monopol ograničava (ili čak onemogućuje konkurenciju). S druge strane, cijena i kvalitet koje oni nude su vrlo važne za društvo i ekonomiju. Stoga vlade žele da zadrže makar indirektnu kontrolu i uticaj na nabavke.</w:t>
      </w:r>
    </w:p>
    <w:p w14:paraId="02F7EBCD" w14:textId="77777777" w:rsidR="00BB13C2" w:rsidRPr="008D51B2" w:rsidRDefault="00BB13C2" w:rsidP="00BB13C2">
      <w:pPr>
        <w:jc w:val="both"/>
        <w:rPr>
          <w:bCs/>
        </w:rPr>
      </w:pPr>
    </w:p>
    <w:p w14:paraId="7C1DCAF2" w14:textId="77777777" w:rsidR="00BB13C2" w:rsidRPr="008D51B2" w:rsidRDefault="00BB13C2" w:rsidP="00BB13C2">
      <w:pPr>
        <w:jc w:val="both"/>
        <w:rPr>
          <w:bCs/>
        </w:rPr>
      </w:pPr>
      <w:r w:rsidRPr="008D51B2">
        <w:rPr>
          <w:bCs/>
        </w:rPr>
        <w:t xml:space="preserve">Pored toga, organi koji djeluju u komunalnom sektoru, a koji nisu ugovorni organi (tj. privatni i kombinovani) su podložni Direktivi 2004/17, ako su dobili posebna ili ekskluzivna prava. Dodjeljujući ta prava, država ograničava broj kompanija (na jednu ili više) koje imaju ovlasti da obavljaju određene aktivnosti, tako stvarajući monopol ili oligopol. </w:t>
      </w:r>
    </w:p>
    <w:p w14:paraId="21CAF48C" w14:textId="77777777" w:rsidR="00BB13C2" w:rsidRPr="008D51B2" w:rsidRDefault="00BB13C2">
      <w:pPr>
        <w:jc w:val="both"/>
        <w:rPr>
          <w:bCs/>
        </w:rPr>
      </w:pPr>
    </w:p>
    <w:p w14:paraId="63D7DA2F" w14:textId="21C29321" w:rsidR="00BB13C2" w:rsidRPr="008D51B2" w:rsidRDefault="00BB13C2"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51B2">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Članom 4. stav (3) Zakona Agencija je donijela Pravilnik sa popisom ugovornih organa po kategorijama koji su obavezni primjenjivati Zakon. Navedeni pravilnik je objavljen u „Službenom glasniku BiH“, broj 21/05.</w:t>
      </w:r>
    </w:p>
    <w:p w14:paraId="3FDFE20F" w14:textId="77777777" w:rsidR="005D5046" w:rsidRPr="008D51B2" w:rsidRDefault="005D5046" w:rsidP="005D5046">
      <w:pPr>
        <w:jc w:val="both"/>
        <w:rPr>
          <w:b/>
        </w:rPr>
      </w:pPr>
    </w:p>
    <w:p w14:paraId="6BA8B379" w14:textId="77777777" w:rsidR="00BB13C2" w:rsidRPr="008D51B2" w:rsidRDefault="00BB13C2" w:rsidP="00BB13C2">
      <w:pPr>
        <w:jc w:val="both"/>
        <w:rPr>
          <w:bCs/>
        </w:rPr>
      </w:pPr>
      <w:r w:rsidRPr="008D51B2">
        <w:rPr>
          <w:bCs/>
        </w:rPr>
        <w:t>Članom 6. navedenog Pravilnika je propisano da ako ugovorni organ nije definisan/obuhvaćen popisom, to ne isključuje njegovu obavezu postupanja po odredbama Zakona, ukoliko je definisan članovima 4. i 5. Zakona.</w:t>
      </w:r>
    </w:p>
    <w:p w14:paraId="41FA2051" w14:textId="77777777" w:rsidR="00BB13C2" w:rsidRPr="008D51B2" w:rsidRDefault="00BB13C2" w:rsidP="00BB13C2">
      <w:pPr>
        <w:jc w:val="both"/>
        <w:rPr>
          <w:bCs/>
        </w:rPr>
      </w:pPr>
    </w:p>
    <w:p w14:paraId="33B6AAE7" w14:textId="77777777" w:rsidR="00BB13C2" w:rsidRPr="008D51B2" w:rsidRDefault="00BB13C2" w:rsidP="00BB13C2">
      <w:pPr>
        <w:jc w:val="both"/>
        <w:rPr>
          <w:bCs/>
        </w:rPr>
      </w:pPr>
      <w:r w:rsidRPr="008D51B2">
        <w:rPr>
          <w:bCs/>
        </w:rPr>
        <w:t>Bitno je naglasiti da je navedeni pravilnik sa popisom ugovornih organa pomoćno sredstvo i lista ugovornih organa je podložna promjenama. Naime, u praksi su moguće kako organizacione, tako i statusne, odnosno institucionalne promjene kod ugovornih organa. Dakle, lista nije konačna, što znači da onda kada određena institucija odgovara opštoj definiciji, a nije uključena u spisak, ipak mora primjenjivati propise o javnim nabavkama.</w:t>
      </w:r>
    </w:p>
    <w:p w14:paraId="0C6BDC85" w14:textId="77777777" w:rsidR="00A11D7A" w:rsidRPr="008D51B2" w:rsidRDefault="00A11D7A" w:rsidP="00BB13C2">
      <w:pPr>
        <w:jc w:val="both"/>
        <w:rPr>
          <w:bCs/>
        </w:rPr>
      </w:pPr>
    </w:p>
    <w:p w14:paraId="56745A7C" w14:textId="3E9F3D93" w:rsidR="00A11D7A" w:rsidRPr="008D51B2" w:rsidRDefault="00A11D7A" w:rsidP="00BB13C2">
      <w:pPr>
        <w:jc w:val="both"/>
        <w:rPr>
          <w:bCs/>
        </w:rPr>
      </w:pPr>
      <w:r w:rsidRPr="008D51B2">
        <w:rPr>
          <w:bCs/>
        </w:rPr>
        <w:t>Prema tome, svaki subjekt koji potpada pod jednu od naprijed navedenih kategorija ugovornih organa podložan je primjeni Zakona o javnim nabavkama i pratećih podzakonskih akata.</w:t>
      </w:r>
    </w:p>
    <w:p w14:paraId="3B562687" w14:textId="77777777" w:rsidR="00611188" w:rsidRDefault="00611188" w:rsidP="00611188">
      <w:pPr>
        <w:jc w:val="both"/>
        <w:rPr>
          <w:bCs/>
        </w:rPr>
      </w:pPr>
    </w:p>
    <w:p w14:paraId="70489DA0" w14:textId="1D5A1CF9" w:rsidR="00BB13C2" w:rsidRPr="00611188" w:rsidRDefault="00611188" w:rsidP="00611188">
      <w:pPr>
        <w:jc w:val="both"/>
        <w:rPr>
          <w:bCs/>
        </w:rPr>
      </w:pPr>
      <w:r>
        <w:rPr>
          <w:bCs/>
        </w:rPr>
        <w:t>V</w:t>
      </w:r>
      <w:r w:rsidRPr="00611188">
        <w:rPr>
          <w:bCs/>
        </w:rPr>
        <w:t>rijednosni razredi su postavljeni na način da je bitna odrednica da li je</w:t>
      </w:r>
      <w:r>
        <w:rPr>
          <w:bCs/>
        </w:rPr>
        <w:t xml:space="preserve"> </w:t>
      </w:r>
      <w:r w:rsidRPr="00611188">
        <w:rPr>
          <w:bCs/>
        </w:rPr>
        <w:t>riječ o ugovornim organima (državnim subjektima) ili ugovornim organima koji</w:t>
      </w:r>
      <w:r>
        <w:rPr>
          <w:bCs/>
        </w:rPr>
        <w:t xml:space="preserve"> </w:t>
      </w:r>
      <w:r w:rsidRPr="00611188">
        <w:rPr>
          <w:bCs/>
        </w:rPr>
        <w:t>predstavljaju javne subjekte koji su osnovani radi zadovoljavanja potreba od općeg</w:t>
      </w:r>
      <w:r>
        <w:rPr>
          <w:bCs/>
        </w:rPr>
        <w:t xml:space="preserve"> </w:t>
      </w:r>
      <w:r w:rsidRPr="00611188">
        <w:rPr>
          <w:bCs/>
        </w:rPr>
        <w:t>interesa.</w:t>
      </w:r>
    </w:p>
    <w:p w14:paraId="10B90BC5" w14:textId="08C6613F" w:rsidR="00C948B5" w:rsidRPr="00AE2653" w:rsidRDefault="000D3A23" w:rsidP="00AE2653">
      <w:pPr>
        <w:pStyle w:val="Heading1"/>
      </w:pPr>
      <w:bookmarkStart w:id="4" w:name="_Toc168432483"/>
      <w:r w:rsidRPr="00AE2653">
        <w:t>Vrsta postupka javne nabavke</w:t>
      </w:r>
      <w:bookmarkEnd w:id="4"/>
    </w:p>
    <w:p w14:paraId="432795C9" w14:textId="77777777" w:rsidR="000D3A23" w:rsidRPr="00C948B5" w:rsidRDefault="000D3A23" w:rsidP="00C948B5">
      <w:pPr>
        <w:jc w:val="both"/>
        <w:rPr>
          <w:bCs/>
        </w:rPr>
      </w:pPr>
    </w:p>
    <w:p w14:paraId="26054994" w14:textId="77777777" w:rsidR="00C948B5" w:rsidRPr="00A97226" w:rsidRDefault="00C948B5" w:rsidP="00C948B5">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Postupke male vrijednosti: </w:t>
      </w:r>
    </w:p>
    <w:p w14:paraId="2E3B855D" w14:textId="77777777" w:rsidR="00C948B5" w:rsidRPr="00C948B5" w:rsidRDefault="00C948B5" w:rsidP="00C948B5">
      <w:pPr>
        <w:jc w:val="both"/>
        <w:rPr>
          <w:b/>
        </w:rPr>
      </w:pPr>
    </w:p>
    <w:p w14:paraId="33E47168" w14:textId="77777777" w:rsidR="00C948B5" w:rsidRPr="00C948B5" w:rsidRDefault="00C948B5" w:rsidP="00C948B5">
      <w:pPr>
        <w:jc w:val="both"/>
        <w:rPr>
          <w:bCs/>
        </w:rPr>
      </w:pPr>
      <w:r w:rsidRPr="00C948B5">
        <w:rPr>
          <w:bCs/>
        </w:rPr>
        <w:t xml:space="preserve">  -  Konkurentski zahtjev </w:t>
      </w:r>
    </w:p>
    <w:p w14:paraId="5DDF76ED" w14:textId="77777777" w:rsidR="00C948B5" w:rsidRPr="00C948B5" w:rsidRDefault="00C948B5" w:rsidP="00C948B5">
      <w:pPr>
        <w:jc w:val="both"/>
        <w:rPr>
          <w:bCs/>
        </w:rPr>
      </w:pPr>
      <w:r w:rsidRPr="00C948B5">
        <w:rPr>
          <w:bCs/>
        </w:rPr>
        <w:t xml:space="preserve">  -  Direktni sporazum</w:t>
      </w:r>
    </w:p>
    <w:p w14:paraId="60E23B43" w14:textId="77777777" w:rsidR="00C948B5" w:rsidRPr="00A97226" w:rsidRDefault="00C948B5" w:rsidP="00C948B5">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085906" w14:textId="77777777" w:rsidR="00C948B5" w:rsidRPr="00A97226" w:rsidRDefault="00C948B5" w:rsidP="00C948B5">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Postupke velike vrijednosti i to</w:t>
      </w:r>
      <w:r w:rsidRPr="00A97226">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54C134B" w14:textId="77777777" w:rsidR="00C948B5" w:rsidRPr="00C948B5" w:rsidRDefault="00C948B5" w:rsidP="00C948B5">
      <w:pPr>
        <w:jc w:val="both"/>
        <w:rPr>
          <w:bCs/>
        </w:rPr>
      </w:pPr>
    </w:p>
    <w:p w14:paraId="028D1578" w14:textId="77777777" w:rsidR="00C948B5" w:rsidRPr="00C948B5" w:rsidRDefault="00C948B5" w:rsidP="00C948B5">
      <w:pPr>
        <w:jc w:val="both"/>
        <w:rPr>
          <w:bCs/>
        </w:rPr>
      </w:pPr>
      <w:r w:rsidRPr="00C948B5">
        <w:rPr>
          <w:bCs/>
        </w:rPr>
        <w:t xml:space="preserve">- Otvoreni postupka, </w:t>
      </w:r>
    </w:p>
    <w:p w14:paraId="797D3B63" w14:textId="77777777" w:rsidR="00C948B5" w:rsidRPr="00C948B5" w:rsidRDefault="00C948B5" w:rsidP="00C948B5">
      <w:pPr>
        <w:jc w:val="both"/>
        <w:rPr>
          <w:bCs/>
        </w:rPr>
      </w:pPr>
      <w:r w:rsidRPr="00C948B5">
        <w:rPr>
          <w:bCs/>
        </w:rPr>
        <w:t xml:space="preserve">- Ograničeni postupak, </w:t>
      </w:r>
    </w:p>
    <w:p w14:paraId="545C37E8" w14:textId="77777777" w:rsidR="00C948B5" w:rsidRPr="00C948B5" w:rsidRDefault="00C948B5" w:rsidP="00C948B5">
      <w:pPr>
        <w:jc w:val="both"/>
        <w:rPr>
          <w:bCs/>
        </w:rPr>
      </w:pPr>
      <w:r w:rsidRPr="00C948B5">
        <w:rPr>
          <w:bCs/>
        </w:rPr>
        <w:t xml:space="preserve">- Pregovarački postupak s objavom obavještenja, </w:t>
      </w:r>
    </w:p>
    <w:p w14:paraId="70D9A242" w14:textId="77777777" w:rsidR="00C948B5" w:rsidRPr="00C948B5" w:rsidRDefault="00C948B5" w:rsidP="00C948B5">
      <w:pPr>
        <w:jc w:val="both"/>
        <w:rPr>
          <w:bCs/>
        </w:rPr>
      </w:pPr>
      <w:r w:rsidRPr="00C948B5">
        <w:rPr>
          <w:bCs/>
        </w:rPr>
        <w:t xml:space="preserve">- Pregovarački postupak bez objave obavještenja, </w:t>
      </w:r>
    </w:p>
    <w:p w14:paraId="6832BC27" w14:textId="77777777" w:rsidR="00C948B5" w:rsidRPr="00C948B5" w:rsidRDefault="00C948B5" w:rsidP="00C948B5">
      <w:pPr>
        <w:jc w:val="both"/>
        <w:rPr>
          <w:bCs/>
        </w:rPr>
      </w:pPr>
      <w:r w:rsidRPr="00C948B5">
        <w:rPr>
          <w:bCs/>
        </w:rPr>
        <w:t xml:space="preserve">- Konkurs za izradu idejnog rješenja i </w:t>
      </w:r>
    </w:p>
    <w:p w14:paraId="2D863929" w14:textId="7D691FDF" w:rsidR="00C948B5" w:rsidRDefault="00C948B5" w:rsidP="00C948B5">
      <w:pPr>
        <w:jc w:val="both"/>
        <w:rPr>
          <w:bCs/>
        </w:rPr>
      </w:pPr>
      <w:r w:rsidRPr="00C948B5">
        <w:rPr>
          <w:bCs/>
        </w:rPr>
        <w:t>- Takmičarski dijalog.</w:t>
      </w:r>
    </w:p>
    <w:p w14:paraId="65618864" w14:textId="77777777" w:rsidR="00C948B5" w:rsidRDefault="00C948B5">
      <w:pPr>
        <w:jc w:val="both"/>
        <w:rPr>
          <w:bCs/>
        </w:rPr>
      </w:pPr>
    </w:p>
    <w:p w14:paraId="2AA1D5C4" w14:textId="77777777" w:rsidR="00C948B5" w:rsidRDefault="00C948B5">
      <w:pPr>
        <w:jc w:val="both"/>
        <w:rPr>
          <w:bCs/>
        </w:rPr>
      </w:pPr>
    </w:p>
    <w:p w14:paraId="0E9CBEE7" w14:textId="4EDD827F" w:rsidR="00C948B5" w:rsidRDefault="00B5399E">
      <w:pPr>
        <w:jc w:val="both"/>
        <w:rPr>
          <w:bCs/>
        </w:rPr>
      </w:pPr>
      <w:r>
        <w:rPr>
          <w:bCs/>
          <w:noProof/>
        </w:rPr>
        <w:lastRenderedPageBreak/>
        <w:drawing>
          <wp:inline distT="0" distB="0" distL="0" distR="0" wp14:anchorId="1FACDC65" wp14:editId="363FF66D">
            <wp:extent cx="5761355" cy="3919855"/>
            <wp:effectExtent l="0" t="0" r="0" b="4445"/>
            <wp:docPr id="1079603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919855"/>
                    </a:xfrm>
                    <a:prstGeom prst="rect">
                      <a:avLst/>
                    </a:prstGeom>
                    <a:noFill/>
                  </pic:spPr>
                </pic:pic>
              </a:graphicData>
            </a:graphic>
          </wp:inline>
        </w:drawing>
      </w:r>
    </w:p>
    <w:p w14:paraId="7428352E" w14:textId="77777777" w:rsidR="00C948B5" w:rsidRDefault="00C948B5">
      <w:pPr>
        <w:jc w:val="both"/>
        <w:rPr>
          <w:bCs/>
        </w:rPr>
      </w:pPr>
    </w:p>
    <w:p w14:paraId="68CAC12E" w14:textId="38A32C40" w:rsidR="00B5399E" w:rsidRDefault="00B5399E">
      <w:pPr>
        <w:jc w:val="both"/>
        <w:rPr>
          <w:bCs/>
        </w:rPr>
      </w:pPr>
      <w:r w:rsidRPr="00B5399E">
        <w:rPr>
          <w:bCs/>
        </w:rPr>
        <w:t>Naravno, primjena odgovarajućeg postupka zavisi od ispunjenosti uslova za primjenu svakog od postupaka.</w:t>
      </w:r>
    </w:p>
    <w:p w14:paraId="5C23FD5A" w14:textId="77777777" w:rsidR="00B5399E" w:rsidRDefault="00B5399E">
      <w:pPr>
        <w:jc w:val="both"/>
        <w:rPr>
          <w:bCs/>
        </w:rPr>
      </w:pPr>
    </w:p>
    <w:p w14:paraId="68B780A3" w14:textId="298AB2B8" w:rsidR="00B5399E" w:rsidRDefault="00B5399E" w:rsidP="00B5399E">
      <w:pPr>
        <w:jc w:val="both"/>
        <w:rPr>
          <w:bCs/>
        </w:rPr>
      </w:pPr>
      <w:r>
        <w:rPr>
          <w:bCs/>
        </w:rPr>
        <w:t>Dakle, z</w:t>
      </w:r>
      <w:r w:rsidRPr="00B5399E">
        <w:rPr>
          <w:bCs/>
        </w:rPr>
        <w:t>a nabavke vrijednosti manje od 50.000,00 KM u slučaju roba i usluga, ili 80.000,00 KM u slučaju radova, prvenstveno se primjenjuje postupak konkurentskog zahtjeva za dostavu ponuda, s tim da svi ugovorni organi mogu primjeniti i sve druge postupke koje predviđa ZJN, naravno vodeći računa da su ispunjeni uslovi za primjenu svakog od postupaka.</w:t>
      </w:r>
    </w:p>
    <w:p w14:paraId="1941235F" w14:textId="77777777" w:rsidR="00B5399E" w:rsidRPr="00B5399E" w:rsidRDefault="00B5399E" w:rsidP="00B5399E">
      <w:pPr>
        <w:jc w:val="both"/>
        <w:rPr>
          <w:bCs/>
        </w:rPr>
      </w:pPr>
    </w:p>
    <w:p w14:paraId="62CEEB51" w14:textId="77777777" w:rsidR="00B5399E" w:rsidRPr="00B5399E" w:rsidRDefault="00B5399E" w:rsidP="00B5399E">
      <w:pPr>
        <w:jc w:val="both"/>
        <w:rPr>
          <w:bCs/>
        </w:rPr>
      </w:pPr>
      <w:r w:rsidRPr="00B5399E">
        <w:rPr>
          <w:bCs/>
        </w:rPr>
        <w:t>Za nabavke jednake ili veće od 50.000,00 KM u slučaju roba i usluga, a manje od 250.000,00 KM za ugovorne organe definisane kao Institucije vlasti i Asocijacije, odnosno 400.000,00 KM za Pravne osobe koje su osnovane za svrhu zadovoljavanja potreba od opšteg interesa i koje nemaju industrijski ili komercijalni karakter, i koje kontrolišu ili finansiraju organi kojima upravlja javno pravo i 800.000,00 KM za Sektorske ugovorne organe, te za nabavke radova koji su jednaki ili veći od 80.000,00 KM, a manji od 9.000,000,00 KM, Ugovorni organi moraju primjenjivati otvoreni postupak, ograničeni postupak, pregovarački postupak sa i bez objavljivanja obavještenja o nabavci, konkurs za izradu idejnog rješenja i takmičarski dijalog.</w:t>
      </w:r>
    </w:p>
    <w:p w14:paraId="3726772A" w14:textId="77777777" w:rsidR="00B5399E" w:rsidRDefault="00B5399E" w:rsidP="00B5399E">
      <w:pPr>
        <w:jc w:val="both"/>
        <w:rPr>
          <w:bCs/>
        </w:rPr>
      </w:pPr>
      <w:r w:rsidRPr="00B5399E">
        <w:rPr>
          <w:bCs/>
        </w:rPr>
        <w:t>Naravno, i u ovom slučaju primjena odgovarajućeg postupka zavisi od ispunjenosti uslova za primjenu svakog od postupaka.</w:t>
      </w:r>
    </w:p>
    <w:p w14:paraId="7F8D1A3F" w14:textId="77777777" w:rsidR="00B5399E" w:rsidRDefault="00B5399E" w:rsidP="00B5399E">
      <w:pPr>
        <w:jc w:val="both"/>
        <w:rPr>
          <w:bCs/>
        </w:rPr>
      </w:pPr>
    </w:p>
    <w:p w14:paraId="7D15D0D3" w14:textId="2678024E" w:rsidR="00B5399E" w:rsidRPr="00B5399E" w:rsidRDefault="00B5399E" w:rsidP="00B5399E">
      <w:pPr>
        <w:jc w:val="both"/>
        <w:rPr>
          <w:bCs/>
        </w:rPr>
      </w:pPr>
      <w:r w:rsidRPr="00B5399E">
        <w:rPr>
          <w:bCs/>
        </w:rPr>
        <w:t xml:space="preserve">Za nabavke roba i usluga koje su jednake ili veće od 250.000,00 KM za ugovorne organe definisane kao Institucije vlasti i Asocijacije, odnosno 400.000,00 KM za Pravne osobe koje su osnovane za svrhu zadovoljavanja potreba od opšteg interesa i koje nemaju industrijski ili komercijalni karakter, i koje kontrolišu ili finansiraju organi kojima upravlja javno pravo i 800.000,00 KM za Sektorske ugovorne organe, te za nabavke radova koji su jednaki ili veći od 9.000,000,00 KM, ugovorni organi moraju primjenjivati otvoreni postupak, ograničeni postupak, pregovarački postupak sa i bez objavljivanja obavještenja o nabavci, konkurs za izradu idejnog rješenja i takmičarski dijalog, uz obavezu objave Sažetka obavještenja o nabavci </w:t>
      </w:r>
      <w:r w:rsidRPr="00B5399E">
        <w:rPr>
          <w:bCs/>
        </w:rPr>
        <w:lastRenderedPageBreak/>
        <w:t>na engleskom jeziku na Portalu javnih nabavki (</w:t>
      </w:r>
      <w:hyperlink r:id="rId9" w:history="1">
        <w:r w:rsidR="006661CD" w:rsidRPr="006661CD">
          <w:rPr>
            <w:rStyle w:val="Hyperlink"/>
            <w:bCs/>
          </w:rPr>
          <w:t>https://www.ejn.gov.ba/</w:t>
        </w:r>
        <w:r w:rsidRPr="006661CD">
          <w:rPr>
            <w:rStyle w:val="Hyperlink"/>
            <w:bCs/>
          </w:rPr>
          <w:t>),</w:t>
        </w:r>
      </w:hyperlink>
      <w:r w:rsidRPr="00B5399E">
        <w:rPr>
          <w:bCs/>
        </w:rPr>
        <w:t xml:space="preserve"> naravno za postupke gdje postoji obaveza objave obavještenja o nabavci i obavezu produženja rokova za prijem zahtjeva za učešće, odnosno ponuda kako je propisano </w:t>
      </w:r>
      <w:r>
        <w:rPr>
          <w:bCs/>
        </w:rPr>
        <w:t>Zakonom.</w:t>
      </w:r>
    </w:p>
    <w:p w14:paraId="0C3A8A26" w14:textId="77777777" w:rsidR="00B5399E" w:rsidRDefault="00B5399E">
      <w:pPr>
        <w:jc w:val="both"/>
        <w:rPr>
          <w:bCs/>
        </w:rPr>
      </w:pPr>
    </w:p>
    <w:p w14:paraId="3D2CEBCB" w14:textId="0873F60C" w:rsidR="009833F6" w:rsidRPr="00AE2653" w:rsidRDefault="009833F6" w:rsidP="00AE2653">
      <w:pPr>
        <w:pStyle w:val="Heading1"/>
      </w:pPr>
      <w:bookmarkStart w:id="5" w:name="_Toc168432484"/>
      <w:r w:rsidRPr="00AE2653">
        <w:t>Procijenjena vrijednost javne nabavke</w:t>
      </w:r>
      <w:bookmarkEnd w:id="5"/>
      <w:r w:rsidRPr="00AE2653">
        <w:t xml:space="preserve"> </w:t>
      </w:r>
    </w:p>
    <w:p w14:paraId="1862818A" w14:textId="77777777" w:rsidR="009833F6" w:rsidRDefault="009833F6" w:rsidP="009833F6">
      <w:pPr>
        <w:jc w:val="both"/>
        <w:rPr>
          <w:bCs/>
        </w:rPr>
      </w:pPr>
    </w:p>
    <w:p w14:paraId="25B4206A" w14:textId="5507B379" w:rsidR="009833F6" w:rsidRPr="009833F6" w:rsidRDefault="009833F6" w:rsidP="009833F6">
      <w:pPr>
        <w:jc w:val="both"/>
        <w:rPr>
          <w:bCs/>
        </w:rPr>
      </w:pPr>
      <w:r w:rsidRPr="009833F6">
        <w:rPr>
          <w:bCs/>
        </w:rPr>
        <w:t>Određivanje procijenjene vrijednosti javne nabavke vrši se na način propisan Zakonom član. 15</w:t>
      </w:r>
      <w:r w:rsidR="00D26F94">
        <w:rPr>
          <w:bCs/>
        </w:rPr>
        <w:t>.</w:t>
      </w:r>
      <w:r w:rsidRPr="009833F6">
        <w:rPr>
          <w:bCs/>
        </w:rPr>
        <w:t xml:space="preserve"> stav (2) pod a), b), c), d) i e).</w:t>
      </w:r>
    </w:p>
    <w:p w14:paraId="0A4C55D5" w14:textId="77777777" w:rsidR="009833F6" w:rsidRPr="009833F6" w:rsidRDefault="009833F6" w:rsidP="009833F6">
      <w:pPr>
        <w:jc w:val="both"/>
        <w:rPr>
          <w:bCs/>
        </w:rPr>
      </w:pPr>
    </w:p>
    <w:p w14:paraId="2D857F42" w14:textId="2682706A" w:rsidR="009833F6" w:rsidRPr="00D26F94" w:rsidRDefault="00D26F94" w:rsidP="00D26F94">
      <w:pPr>
        <w:jc w:val="both"/>
        <w:rPr>
          <w:bCs/>
        </w:rPr>
      </w:pPr>
      <w:r w:rsidRPr="00D26F94">
        <w:rPr>
          <w:bCs/>
        </w:rPr>
        <w:t>a</w:t>
      </w:r>
      <w:r>
        <w:rPr>
          <w:bCs/>
        </w:rPr>
        <w:t xml:space="preserve">) </w:t>
      </w:r>
      <w:r w:rsidR="009833F6" w:rsidRPr="00D26F94">
        <w:rPr>
          <w:bCs/>
        </w:rPr>
        <w:t>Procijenjena vrijednost nabavke robe, usluga ili radova jednaka je novčanom iznosu koji ugovorni organ plaća, bez obračunatog poreza na dodatu vrijednost. Prilikom izračunavanja procijenjene vrijednosti ugovora o radovima u obzir se uzimaju troškovi radova i ukupna procijenjena vrijednost svih roba ili usluga koje ugovorni organi stavljaju na raspolaganje izvođaču radova pod uslovom da su one potrebne za izvođenje radova;</w:t>
      </w:r>
    </w:p>
    <w:p w14:paraId="13816A59" w14:textId="77777777" w:rsidR="00D26F94" w:rsidRPr="00D26F94" w:rsidRDefault="00D26F94" w:rsidP="00D26F94">
      <w:pPr>
        <w:pStyle w:val="ListParagraph"/>
        <w:jc w:val="both"/>
        <w:rPr>
          <w:bCs/>
        </w:rPr>
      </w:pPr>
    </w:p>
    <w:p w14:paraId="756FC743" w14:textId="77777777" w:rsidR="009833F6" w:rsidRPr="009833F6" w:rsidRDefault="009833F6" w:rsidP="009833F6">
      <w:pPr>
        <w:jc w:val="both"/>
        <w:rPr>
          <w:bCs/>
        </w:rPr>
      </w:pPr>
      <w:r w:rsidRPr="009833F6">
        <w:rPr>
          <w:bCs/>
        </w:rPr>
        <w:t>b) Procijenjenu vrijednost robe, usluga ili radova čini njihova procijenjena tržišna     vrijednost u vrijeme objavljivanja obavještenja o javnoj nabavci ili, u slučajevima kada takvo obavještenje nije potrebno, u trenutku kada ugovorni organ započinje postupak javne nabavke;</w:t>
      </w:r>
    </w:p>
    <w:p w14:paraId="5C3C4FB2" w14:textId="77777777" w:rsidR="009833F6" w:rsidRPr="009833F6" w:rsidRDefault="009833F6" w:rsidP="009833F6">
      <w:pPr>
        <w:jc w:val="both"/>
        <w:rPr>
          <w:bCs/>
        </w:rPr>
      </w:pPr>
      <w:r w:rsidRPr="009833F6">
        <w:rPr>
          <w:bCs/>
        </w:rPr>
        <w:t xml:space="preserve">  </w:t>
      </w:r>
    </w:p>
    <w:p w14:paraId="10CA5155" w14:textId="77777777" w:rsidR="009833F6" w:rsidRPr="009833F6" w:rsidRDefault="009833F6" w:rsidP="009833F6">
      <w:pPr>
        <w:jc w:val="both"/>
        <w:rPr>
          <w:bCs/>
        </w:rPr>
      </w:pPr>
      <w:r w:rsidRPr="009833F6">
        <w:rPr>
          <w:bCs/>
        </w:rPr>
        <w:t>c) U određivanju procijenjene vrijednosti javne nabavke robe, usluga ili radova ugovorni organ dužan je uključiti sve elemente cijene koju plaća za nabavku te robe, usluge ili radova;</w:t>
      </w:r>
    </w:p>
    <w:p w14:paraId="3C9EF269" w14:textId="77777777" w:rsidR="009833F6" w:rsidRPr="009833F6" w:rsidRDefault="009833F6" w:rsidP="009833F6">
      <w:pPr>
        <w:jc w:val="both"/>
        <w:rPr>
          <w:bCs/>
        </w:rPr>
      </w:pPr>
    </w:p>
    <w:p w14:paraId="38C67964" w14:textId="77777777" w:rsidR="009833F6" w:rsidRPr="009833F6" w:rsidRDefault="009833F6" w:rsidP="009833F6">
      <w:pPr>
        <w:jc w:val="both"/>
        <w:rPr>
          <w:bCs/>
        </w:rPr>
      </w:pPr>
      <w:r w:rsidRPr="009833F6">
        <w:rPr>
          <w:bCs/>
        </w:rPr>
        <w:t>d) Ako je javna nabavka robe, usluga ili radova podijeljena u nekoliko lotova, procijenjena vrijednost predstavlja zbir svih takvih lotova i ona se koristi za određivanje vrijednosnog razreda te nabavke;</w:t>
      </w:r>
    </w:p>
    <w:p w14:paraId="312BC39A" w14:textId="77777777" w:rsidR="009833F6" w:rsidRPr="009833F6" w:rsidRDefault="009833F6" w:rsidP="009833F6">
      <w:pPr>
        <w:jc w:val="both"/>
        <w:rPr>
          <w:bCs/>
        </w:rPr>
      </w:pPr>
      <w:r w:rsidRPr="009833F6">
        <w:rPr>
          <w:bCs/>
        </w:rPr>
        <w:t xml:space="preserve"> </w:t>
      </w:r>
    </w:p>
    <w:p w14:paraId="76FBAF5A" w14:textId="77777777" w:rsidR="009833F6" w:rsidRDefault="009833F6" w:rsidP="009833F6">
      <w:pPr>
        <w:jc w:val="both"/>
        <w:rPr>
          <w:bCs/>
        </w:rPr>
      </w:pPr>
      <w:r w:rsidRPr="009833F6">
        <w:rPr>
          <w:bCs/>
        </w:rPr>
        <w:t>e) U određivanju procijenjene vrijednosti okvirnog sporazuma, ugovorni organ uzet će u obzir maksimalnu procijenjenu vrijednost, bez obračunatog poreza na dodatu vrijednost, svih predviđenih ugovora za cijeli period trajanja okvirnog sporazuma.</w:t>
      </w:r>
    </w:p>
    <w:p w14:paraId="1130517A" w14:textId="68E54655" w:rsidR="006657D8" w:rsidRDefault="006657D8" w:rsidP="009833F6">
      <w:pPr>
        <w:jc w:val="both"/>
        <w:rPr>
          <w:bCs/>
        </w:rPr>
      </w:pPr>
    </w:p>
    <w:p w14:paraId="7DFC3A42" w14:textId="44D24BA9" w:rsidR="009833F6" w:rsidRPr="00A97226" w:rsidRDefault="009833F6"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Član 15. stav (3) Zakona</w:t>
      </w:r>
      <w:r w:rsidR="006657D8"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k</w:t>
      </w: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od ugovora o javnoj nabavci robe čiji je predmet lizing, zakup najam ili kupovina na otplatu, vrijednost koja se uzima kao osnov za izračunavanje procijenjene vrijednosti ugovora je sljedeća:    </w:t>
      </w:r>
    </w:p>
    <w:p w14:paraId="5053FFD8" w14:textId="77777777" w:rsidR="009833F6" w:rsidRPr="00A97226" w:rsidRDefault="009833F6" w:rsidP="009833F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8AE3B3" w14:textId="77777777" w:rsidR="009833F6" w:rsidRPr="009833F6" w:rsidRDefault="009833F6" w:rsidP="009833F6">
      <w:pPr>
        <w:jc w:val="both"/>
        <w:rPr>
          <w:bCs/>
        </w:rPr>
      </w:pPr>
      <w:r w:rsidRPr="009833F6">
        <w:rPr>
          <w:bCs/>
        </w:rPr>
        <w:t xml:space="preserve">a) u slučaju ugovora o javnoj nabavci na određeni rok, ako je rok kraći od 12 mjeseci, ili je 12 mjeseci, ukupna procijenjena vrijednost za ugovor ili, ako je rok ugovora duži od 12 mjeseci, ukupna vrijednost uključujući procijenjenu preostalu vrijednost;     </w:t>
      </w:r>
    </w:p>
    <w:p w14:paraId="084E28E4" w14:textId="77777777" w:rsidR="009833F6" w:rsidRPr="009833F6" w:rsidRDefault="009833F6" w:rsidP="009833F6">
      <w:pPr>
        <w:jc w:val="both"/>
        <w:rPr>
          <w:bCs/>
        </w:rPr>
      </w:pPr>
      <w:r w:rsidRPr="009833F6">
        <w:rPr>
          <w:bCs/>
        </w:rPr>
        <w:t xml:space="preserve">  </w:t>
      </w:r>
    </w:p>
    <w:p w14:paraId="398364A8" w14:textId="77777777" w:rsidR="009833F6" w:rsidRPr="009833F6" w:rsidRDefault="009833F6" w:rsidP="009833F6">
      <w:pPr>
        <w:jc w:val="both"/>
        <w:rPr>
          <w:bCs/>
        </w:rPr>
      </w:pPr>
      <w:r w:rsidRPr="009833F6">
        <w:rPr>
          <w:bCs/>
        </w:rPr>
        <w:t xml:space="preserve">b) u slučaju ugovora o javnoj nabavci bez određenih rokova ili za koje se rokovi ne mogu definirati, mjesečna vrijednost pomnožena s 48.      </w:t>
      </w:r>
    </w:p>
    <w:p w14:paraId="00B952DB" w14:textId="77777777" w:rsidR="009833F6" w:rsidRPr="009833F6" w:rsidRDefault="009833F6" w:rsidP="009833F6">
      <w:pPr>
        <w:jc w:val="both"/>
        <w:rPr>
          <w:bCs/>
        </w:rPr>
      </w:pPr>
    </w:p>
    <w:p w14:paraId="21B1BFBA" w14:textId="73E92596" w:rsidR="009833F6" w:rsidRPr="00A97226" w:rsidRDefault="009833F6"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Član 15. stav (4) Zakona</w:t>
      </w:r>
      <w:r w:rsidR="006657D8"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u</w:t>
      </w: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slučaju ugovora o javnoj nabavci robe ili usluga koji su po prirodi redovni ili koji se namjeravaju obnoviti u okviru datog vremena, kalkulacija procijenjene vrijednosti ugovora bit će izračunata na osnovu sljedećeg:  </w:t>
      </w:r>
    </w:p>
    <w:p w14:paraId="5D9DDCC3" w14:textId="77777777" w:rsidR="006657D8" w:rsidRPr="009833F6" w:rsidRDefault="006657D8" w:rsidP="009833F6">
      <w:pPr>
        <w:jc w:val="both"/>
        <w:rPr>
          <w:bCs/>
        </w:rPr>
      </w:pPr>
    </w:p>
    <w:p w14:paraId="3B14FF7D" w14:textId="77777777" w:rsidR="009833F6" w:rsidRPr="009833F6" w:rsidRDefault="009833F6" w:rsidP="009833F6">
      <w:pPr>
        <w:jc w:val="both"/>
        <w:rPr>
          <w:bCs/>
        </w:rPr>
      </w:pPr>
      <w:r w:rsidRPr="009833F6">
        <w:rPr>
          <w:bCs/>
        </w:rPr>
        <w:t xml:space="preserve">a) ili ukupna stvarna vrijednost uzastopnih ugovora iste vrste koji su dodijeljeni tokom prethodnih 12 mjeseci ili, ako je moguće, tokom finansijske godine kako bi se uzele u obzir </w:t>
      </w:r>
      <w:r w:rsidRPr="009833F6">
        <w:rPr>
          <w:bCs/>
        </w:rPr>
        <w:lastRenderedPageBreak/>
        <w:t xml:space="preserve">izmjene u iznosu ili vrijednosti koje bi se mogle pojaviti tokom 12 mjeseci nakon zaključivanja osnovnog ugovora;  </w:t>
      </w:r>
    </w:p>
    <w:p w14:paraId="2F9A2BBD" w14:textId="77777777" w:rsidR="009833F6" w:rsidRPr="009833F6" w:rsidRDefault="009833F6" w:rsidP="009833F6">
      <w:pPr>
        <w:jc w:val="both"/>
        <w:rPr>
          <w:bCs/>
        </w:rPr>
      </w:pPr>
      <w:r w:rsidRPr="009833F6">
        <w:rPr>
          <w:bCs/>
        </w:rPr>
        <w:t>b) ili ukupna procijenjena vrijednost uzastopnih ugovora dodijeljenih tokom 12 mjeseci koji su uslijedili nakon prve isporuke, ili tokom finansijske godine, ako je to duže od 12 mjeseci.</w:t>
      </w:r>
    </w:p>
    <w:p w14:paraId="488CB685" w14:textId="77777777" w:rsidR="009833F6" w:rsidRPr="009833F6" w:rsidRDefault="009833F6" w:rsidP="009833F6">
      <w:pPr>
        <w:jc w:val="both"/>
        <w:rPr>
          <w:bCs/>
        </w:rPr>
      </w:pPr>
      <w:r w:rsidRPr="009833F6">
        <w:rPr>
          <w:bCs/>
        </w:rPr>
        <w:t xml:space="preserve"> </w:t>
      </w:r>
    </w:p>
    <w:p w14:paraId="43904F45" w14:textId="6388C97B" w:rsidR="006657D8" w:rsidRPr="00A97226" w:rsidRDefault="009833F6"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Član 15. stav (5) Zakona</w:t>
      </w:r>
      <w:r w:rsidR="006657D8"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u</w:t>
      </w: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slučaju ugovora o javnoj nabavci usluga, vrijednost koja treba da se uzme kao osnova za izračunavanje procijenjene vrijednosti ugovora će, ako je potrebno, biti procijenjena kako slijedi:       </w:t>
      </w:r>
    </w:p>
    <w:p w14:paraId="5EF17C53" w14:textId="313B1B3A" w:rsidR="009833F6" w:rsidRPr="00C4357F" w:rsidRDefault="009833F6" w:rsidP="009833F6">
      <w:pPr>
        <w:jc w:val="both"/>
        <w:rPr>
          <w:b/>
        </w:rPr>
      </w:pPr>
      <w:r w:rsidRPr="00C4357F">
        <w:rPr>
          <w:b/>
        </w:rPr>
        <w:t xml:space="preserve">         </w:t>
      </w:r>
    </w:p>
    <w:p w14:paraId="713B62E0" w14:textId="77777777" w:rsidR="009833F6" w:rsidRDefault="009833F6" w:rsidP="009833F6">
      <w:pPr>
        <w:jc w:val="both"/>
        <w:rPr>
          <w:bCs/>
        </w:rPr>
      </w:pPr>
      <w:r w:rsidRPr="009833F6">
        <w:rPr>
          <w:bCs/>
        </w:rPr>
        <w:t>a) za sljedeće vrste usluga:</w:t>
      </w:r>
    </w:p>
    <w:p w14:paraId="3EDA53FE" w14:textId="77777777" w:rsidR="00C4357F" w:rsidRPr="009833F6" w:rsidRDefault="00C4357F" w:rsidP="009833F6">
      <w:pPr>
        <w:jc w:val="both"/>
        <w:rPr>
          <w:bCs/>
        </w:rPr>
      </w:pPr>
    </w:p>
    <w:p w14:paraId="0E4D2CB4" w14:textId="77777777" w:rsidR="009833F6" w:rsidRPr="009833F6" w:rsidRDefault="009833F6" w:rsidP="009833F6">
      <w:pPr>
        <w:jc w:val="both"/>
        <w:rPr>
          <w:bCs/>
        </w:rPr>
      </w:pPr>
      <w:r w:rsidRPr="009833F6">
        <w:rPr>
          <w:bCs/>
        </w:rPr>
        <w:t xml:space="preserve">1) usluge osiguranja: plaćanje premija i druge forme plaćanja, </w:t>
      </w:r>
    </w:p>
    <w:p w14:paraId="41B8BCA6" w14:textId="77777777" w:rsidR="009833F6" w:rsidRPr="009833F6" w:rsidRDefault="009833F6" w:rsidP="009833F6">
      <w:pPr>
        <w:jc w:val="both"/>
        <w:rPr>
          <w:bCs/>
        </w:rPr>
      </w:pPr>
      <w:r w:rsidRPr="009833F6">
        <w:rPr>
          <w:bCs/>
        </w:rPr>
        <w:t xml:space="preserve">2) bankarstvo i druge finansijske usluge: naknade, provizije, kamate i druge forme plaćanja, </w:t>
      </w:r>
    </w:p>
    <w:p w14:paraId="6729FC2D" w14:textId="77777777" w:rsidR="009833F6" w:rsidRDefault="009833F6" w:rsidP="009833F6">
      <w:pPr>
        <w:jc w:val="both"/>
        <w:rPr>
          <w:bCs/>
        </w:rPr>
      </w:pPr>
      <w:r w:rsidRPr="009833F6">
        <w:rPr>
          <w:bCs/>
        </w:rPr>
        <w:t>3) ugovori za izradu idejnog rješenja: isplata naknada, provizija i druge forme plaćanja;</w:t>
      </w:r>
    </w:p>
    <w:p w14:paraId="041FA280" w14:textId="77777777" w:rsidR="00C4357F" w:rsidRPr="009833F6" w:rsidRDefault="00C4357F" w:rsidP="009833F6">
      <w:pPr>
        <w:jc w:val="both"/>
        <w:rPr>
          <w:bCs/>
        </w:rPr>
      </w:pPr>
    </w:p>
    <w:p w14:paraId="50BC3C50" w14:textId="77777777" w:rsidR="009833F6" w:rsidRDefault="009833F6" w:rsidP="009833F6">
      <w:pPr>
        <w:jc w:val="both"/>
        <w:rPr>
          <w:bCs/>
        </w:rPr>
      </w:pPr>
      <w:r w:rsidRPr="009833F6">
        <w:rPr>
          <w:bCs/>
        </w:rPr>
        <w:t>b) za ugovore o uslugama pri čemu nije naznačena ukupna cijena:</w:t>
      </w:r>
    </w:p>
    <w:p w14:paraId="7DF63A1F" w14:textId="77777777" w:rsidR="00C4357F" w:rsidRPr="009833F6" w:rsidRDefault="00C4357F" w:rsidP="009833F6">
      <w:pPr>
        <w:jc w:val="both"/>
        <w:rPr>
          <w:bCs/>
        </w:rPr>
      </w:pPr>
    </w:p>
    <w:p w14:paraId="6062AD77" w14:textId="77777777" w:rsidR="009833F6" w:rsidRPr="009833F6" w:rsidRDefault="009833F6" w:rsidP="009833F6">
      <w:pPr>
        <w:jc w:val="both"/>
        <w:rPr>
          <w:bCs/>
        </w:rPr>
      </w:pPr>
      <w:r w:rsidRPr="009833F6">
        <w:rPr>
          <w:bCs/>
        </w:rPr>
        <w:t xml:space="preserve">1) u slučaju ugovora s određenim rokom, ako je rok jednak ili manji od 48 mjeseci: ukupna vrijednost za njihov puni rok,       </w:t>
      </w:r>
    </w:p>
    <w:p w14:paraId="44A5975B" w14:textId="77777777" w:rsidR="009833F6" w:rsidRPr="009833F6" w:rsidRDefault="009833F6" w:rsidP="009833F6">
      <w:pPr>
        <w:jc w:val="both"/>
        <w:rPr>
          <w:bCs/>
        </w:rPr>
      </w:pPr>
      <w:r w:rsidRPr="009833F6">
        <w:rPr>
          <w:bCs/>
        </w:rPr>
        <w:t xml:space="preserve">2) u slučaju ugovora bez određenog roka ili s rokom dužim od 48 mjeseci, mjesečna vrijednost pomnožena s 48. </w:t>
      </w:r>
    </w:p>
    <w:p w14:paraId="1F5CDD52" w14:textId="123DE3AF" w:rsidR="009833F6" w:rsidRPr="009833F6" w:rsidRDefault="009833F6" w:rsidP="009833F6">
      <w:pPr>
        <w:jc w:val="both"/>
        <w:rPr>
          <w:bCs/>
        </w:rPr>
      </w:pPr>
      <w:r w:rsidRPr="009833F6">
        <w:rPr>
          <w:bCs/>
        </w:rPr>
        <w:t xml:space="preserve"> </w:t>
      </w:r>
    </w:p>
    <w:p w14:paraId="48A342AB" w14:textId="32208D3B" w:rsidR="009833F6" w:rsidRPr="00A97226" w:rsidRDefault="006657D8"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Član 15. stav </w:t>
      </w:r>
      <w:r w:rsidR="009833F6"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Zakona, a</w:t>
      </w:r>
      <w:r w:rsidR="009833F6"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 se ugovorni organ sastoji od zasebnih operativnih jedinica, u obzir se uzima ukupna procijenjena vrijednost nabavke za sve operativne jedinice.</w:t>
      </w:r>
    </w:p>
    <w:p w14:paraId="3A417695" w14:textId="77777777" w:rsidR="009833F6" w:rsidRPr="009833F6" w:rsidRDefault="009833F6" w:rsidP="006657D8">
      <w:pPr>
        <w:jc w:val="both"/>
        <w:rPr>
          <w:bCs/>
        </w:rPr>
      </w:pPr>
    </w:p>
    <w:p w14:paraId="7C6F1182" w14:textId="064F3276" w:rsidR="009833F6" w:rsidRPr="00A97226" w:rsidRDefault="006657D8"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Član 15. stav </w:t>
      </w:r>
      <w:r w:rsidR="009833F6"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w:t>
      </w: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Zakona, u</w:t>
      </w:r>
      <w:r w:rsidR="009833F6"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govornom organu nije dozvoljeno dijeljenje predmeta nabavke s namjerom izbjegavanja primjene odgovarajućeg postupka definiranog ovim zakonom.</w:t>
      </w:r>
    </w:p>
    <w:p w14:paraId="4BFFB132" w14:textId="77777777" w:rsidR="009833F6" w:rsidRPr="009833F6" w:rsidRDefault="009833F6" w:rsidP="006657D8">
      <w:pPr>
        <w:jc w:val="both"/>
        <w:rPr>
          <w:bCs/>
        </w:rPr>
      </w:pPr>
      <w:r w:rsidRPr="009833F6">
        <w:rPr>
          <w:bCs/>
        </w:rPr>
        <w:t xml:space="preserve"> </w:t>
      </w:r>
    </w:p>
    <w:p w14:paraId="755D12A6" w14:textId="30E1BEAC" w:rsidR="00B5399E" w:rsidRDefault="006657D8"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Član 15. stav </w:t>
      </w:r>
      <w:r w:rsidR="009833F6"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Zakona </w:t>
      </w:r>
      <w:r w:rsidR="009833F6"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Ako predloženi ugovor sadrži alternativnu ponudu, osnov za utvrđivanje procijenjene vrijednosti ugovora je maksimalni mogući ukupni iznos javne nabavke.</w:t>
      </w:r>
    </w:p>
    <w:p w14:paraId="6C41162F" w14:textId="77777777" w:rsidR="00060E81" w:rsidRDefault="00060E81"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D6ADDF" w14:textId="7A41C4A5" w:rsidR="00A02A83" w:rsidRDefault="00060E81" w:rsidP="00060E81">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0E81">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Primjeri </w:t>
      </w:r>
      <w:r w:rsidR="00A02A83">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 prakse :</w:t>
      </w:r>
    </w:p>
    <w:p w14:paraId="0762F446" w14:textId="77777777" w:rsidR="00A02A83" w:rsidRDefault="00A02A83" w:rsidP="00060E81">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B35142" w14:textId="12349C75" w:rsidR="00060E81" w:rsidRDefault="00A02A83" w:rsidP="00060E81">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060E81" w:rsidRPr="00060E81">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dređivanja procijenjene vrijednosti nabavke roba, usluga i</w:t>
      </w:r>
      <w:r w:rsidR="00060E81">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0E81" w:rsidRPr="00060E81">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radova</w:t>
      </w:r>
      <w:r w:rsidR="00060E81" w:rsidRPr="00060E81">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cr/>
      </w:r>
    </w:p>
    <w:p w14:paraId="63265591" w14:textId="5A996B39" w:rsidR="00060E81" w:rsidRPr="00060E81" w:rsidRDefault="00060E81" w:rsidP="00060E81">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0E81">
        <w:rPr>
          <w:bCs/>
        </w:rPr>
        <w:t xml:space="preserve">Primjer 1. </w:t>
      </w:r>
      <w:r w:rsidRPr="00060E81">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Nabavka potrošnog materijala</w:t>
      </w:r>
    </w:p>
    <w:p w14:paraId="2F2D2D76" w14:textId="77777777" w:rsidR="00060E81" w:rsidRDefault="00060E81" w:rsidP="00060E81">
      <w:pPr>
        <w:jc w:val="both"/>
        <w:rPr>
          <w:bCs/>
        </w:rPr>
      </w:pPr>
    </w:p>
    <w:p w14:paraId="0D1D1878" w14:textId="50B6C36D" w:rsidR="00060E81" w:rsidRPr="00060E81" w:rsidRDefault="00060E81" w:rsidP="00060E81">
      <w:pPr>
        <w:jc w:val="both"/>
        <w:rPr>
          <w:bCs/>
        </w:rPr>
      </w:pPr>
      <w:r w:rsidRPr="00060E81">
        <w:rPr>
          <w:bCs/>
        </w:rPr>
        <w:t>Prilikom određivanja procijenjene vrijednosti nabavke potrošnog materijala (npr. higijenska papirna</w:t>
      </w:r>
      <w:r>
        <w:rPr>
          <w:bCs/>
        </w:rPr>
        <w:t xml:space="preserve"> </w:t>
      </w:r>
      <w:r w:rsidRPr="00060E81">
        <w:rPr>
          <w:bCs/>
        </w:rPr>
        <w:t>konfekcija, sredstva za pranje i čišćenje, te sredstva za ličnu higijenu), naručioci treba da znaju šta</w:t>
      </w:r>
      <w:r>
        <w:rPr>
          <w:bCs/>
        </w:rPr>
        <w:t xml:space="preserve"> </w:t>
      </w:r>
      <w:r w:rsidRPr="00060E81">
        <w:rPr>
          <w:bCs/>
        </w:rPr>
        <w:t>im je potrebno i poznavati tržište ponude – šta se nudi, ko nudi i sl. Tokom istraživanja tržišta</w:t>
      </w:r>
      <w:r>
        <w:rPr>
          <w:bCs/>
        </w:rPr>
        <w:t xml:space="preserve"> </w:t>
      </w:r>
      <w:r w:rsidRPr="00060E81">
        <w:rPr>
          <w:bCs/>
        </w:rPr>
        <w:t>naručilac</w:t>
      </w:r>
      <w:r w:rsidR="00304593">
        <w:rPr>
          <w:bCs/>
        </w:rPr>
        <w:t>/ ugovorni organ provodi</w:t>
      </w:r>
      <w:r w:rsidRPr="00060E81">
        <w:rPr>
          <w:bCs/>
        </w:rPr>
        <w:t xml:space="preserve"> analizu i upoređivanje potencijalnih proizvoda koji postoje na tržištu a koji</w:t>
      </w:r>
      <w:r>
        <w:rPr>
          <w:bCs/>
        </w:rPr>
        <w:t xml:space="preserve"> </w:t>
      </w:r>
      <w:r w:rsidRPr="00060E81">
        <w:rPr>
          <w:bCs/>
        </w:rPr>
        <w:t>zadovoljavaju njegove potrebe. Pri tome, treba uzeti u obzir da proizvodi koje namjerava nabaviti</w:t>
      </w:r>
      <w:r>
        <w:rPr>
          <w:bCs/>
        </w:rPr>
        <w:t xml:space="preserve"> </w:t>
      </w:r>
      <w:r w:rsidRPr="00060E81">
        <w:rPr>
          <w:bCs/>
        </w:rPr>
        <w:t>moraju zadovoljavati zakonske i podzakonske propise vezane za proizvodnju i stavljanje na tržište</w:t>
      </w:r>
      <w:r>
        <w:rPr>
          <w:bCs/>
        </w:rPr>
        <w:t xml:space="preserve"> </w:t>
      </w:r>
      <w:r w:rsidRPr="00060E81">
        <w:rPr>
          <w:bCs/>
        </w:rPr>
        <w:t>robe koja je predmet nabavke. Takođe, naručilac analizira i upoređuje cijene proizvoda kako bi</w:t>
      </w:r>
      <w:r>
        <w:rPr>
          <w:bCs/>
        </w:rPr>
        <w:t xml:space="preserve"> </w:t>
      </w:r>
      <w:r w:rsidRPr="00060E81">
        <w:rPr>
          <w:bCs/>
        </w:rPr>
        <w:t>mogao donijeti zaključak što mu je finansijski prihvatljivo.</w:t>
      </w:r>
    </w:p>
    <w:p w14:paraId="6D8A8C9D" w14:textId="77777777" w:rsidR="00060E81" w:rsidRDefault="00060E81" w:rsidP="00060E81">
      <w:pPr>
        <w:jc w:val="both"/>
        <w:rPr>
          <w:bCs/>
        </w:rPr>
      </w:pPr>
    </w:p>
    <w:p w14:paraId="41D92049" w14:textId="2C20DCFF" w:rsidR="00060E81" w:rsidRPr="00060E81" w:rsidRDefault="00060E81" w:rsidP="00060E81">
      <w:pPr>
        <w:jc w:val="both"/>
        <w:rPr>
          <w:bCs/>
        </w:rPr>
      </w:pPr>
      <w:r w:rsidRPr="00060E81">
        <w:rPr>
          <w:bCs/>
        </w:rPr>
        <w:lastRenderedPageBreak/>
        <w:t>U postupku javne nabavke naručilac propisuje jasne minimalne tehničke karakteristike koje proizvodi</w:t>
      </w:r>
      <w:r>
        <w:rPr>
          <w:bCs/>
        </w:rPr>
        <w:t xml:space="preserve"> </w:t>
      </w:r>
      <w:r w:rsidRPr="00060E81">
        <w:rPr>
          <w:bCs/>
        </w:rPr>
        <w:t>moraju zadovoljavati kako bi ponude bile prihvaćene u postupku javne nabavke. Pri definisanju</w:t>
      </w:r>
      <w:r>
        <w:rPr>
          <w:bCs/>
        </w:rPr>
        <w:t xml:space="preserve"> </w:t>
      </w:r>
      <w:r w:rsidRPr="00060E81">
        <w:rPr>
          <w:bCs/>
        </w:rPr>
        <w:t>tehničkih specifikacija treba se koristiti opštepoznatim i uobičajenim opisima i pojmovima koji se</w:t>
      </w:r>
      <w:r>
        <w:rPr>
          <w:bCs/>
        </w:rPr>
        <w:t xml:space="preserve"> </w:t>
      </w:r>
      <w:r w:rsidRPr="00060E81">
        <w:rPr>
          <w:bCs/>
        </w:rPr>
        <w:t>koriste na tržištu. U definisanju tehničkih specifikacija ne smije se zaboraviti da se ponuđačima</w:t>
      </w:r>
      <w:r>
        <w:rPr>
          <w:bCs/>
        </w:rPr>
        <w:t xml:space="preserve"> </w:t>
      </w:r>
      <w:r w:rsidRPr="00060E81">
        <w:rPr>
          <w:bCs/>
        </w:rPr>
        <w:t>omogući da pored unošenja jedinične i ukupne cijene proizvoda, unesu podatke i o nazivu proizvoda,</w:t>
      </w:r>
      <w:r>
        <w:rPr>
          <w:bCs/>
        </w:rPr>
        <w:t xml:space="preserve"> </w:t>
      </w:r>
      <w:r w:rsidRPr="00060E81">
        <w:rPr>
          <w:bCs/>
        </w:rPr>
        <w:t>proizvođaču ili uvozniku koji stavlja robu na tržište kako bi se tokom izvršenja ugovora znalo što</w:t>
      </w:r>
      <w:r>
        <w:rPr>
          <w:bCs/>
        </w:rPr>
        <w:t xml:space="preserve"> </w:t>
      </w:r>
      <w:r w:rsidRPr="00060E81">
        <w:rPr>
          <w:bCs/>
        </w:rPr>
        <w:t>treba biti isporučeno. Takođe, preporučljivo je kod traženih vrijednosti vezanih za masu, volumen i</w:t>
      </w:r>
      <w:r>
        <w:rPr>
          <w:bCs/>
        </w:rPr>
        <w:t xml:space="preserve"> </w:t>
      </w:r>
      <w:r w:rsidRPr="00060E81">
        <w:rPr>
          <w:bCs/>
        </w:rPr>
        <w:t>sl., omogućiti prihvatanje i proizvoda koji odstupaju od traženih vrijednosti npr. ± 10 %.</w:t>
      </w:r>
    </w:p>
    <w:p w14:paraId="1A9B64A5" w14:textId="77777777" w:rsidR="00060E81" w:rsidRDefault="00060E81" w:rsidP="00060E81">
      <w:pPr>
        <w:jc w:val="both"/>
        <w:rPr>
          <w:bCs/>
        </w:rPr>
      </w:pPr>
    </w:p>
    <w:p w14:paraId="5B20020D" w14:textId="6B826811" w:rsidR="00060E81" w:rsidRPr="00060E81" w:rsidRDefault="00060E81" w:rsidP="00060E81">
      <w:pPr>
        <w:jc w:val="both"/>
        <w:rPr>
          <w:bCs/>
        </w:rPr>
      </w:pPr>
      <w:r w:rsidRPr="00060E81">
        <w:rPr>
          <w:bCs/>
        </w:rPr>
        <w:t>U svrhu provjere ponuđenih tehničkih specifikacija, naručilac treba da od ponuđača traži dostavljanje</w:t>
      </w:r>
      <w:r>
        <w:rPr>
          <w:bCs/>
        </w:rPr>
        <w:t xml:space="preserve"> </w:t>
      </w:r>
      <w:r w:rsidRPr="00060E81">
        <w:rPr>
          <w:bCs/>
        </w:rPr>
        <w:t>odgovarajućeg dokaznog sredstva u ponudi kojim će oni dokazati da ponuđeni predmet nabavke</w:t>
      </w:r>
      <w:r>
        <w:rPr>
          <w:bCs/>
        </w:rPr>
        <w:t xml:space="preserve"> </w:t>
      </w:r>
      <w:r w:rsidRPr="00060E81">
        <w:rPr>
          <w:bCs/>
        </w:rPr>
        <w:t>zadovoljava tražene tehničke specifikacije (na primjer, tehnička dokumentacija proizvođača,</w:t>
      </w:r>
      <w:r>
        <w:rPr>
          <w:bCs/>
        </w:rPr>
        <w:t xml:space="preserve"> </w:t>
      </w:r>
      <w:r w:rsidRPr="00060E81">
        <w:rPr>
          <w:bCs/>
        </w:rPr>
        <w:t>katalozi, tehnički listovi, izvještaji o testiranju od organa koji vrše ocjenu usklađenosti i sl.).</w:t>
      </w:r>
    </w:p>
    <w:p w14:paraId="0539700F" w14:textId="77777777" w:rsidR="00060E81" w:rsidRDefault="00060E81" w:rsidP="00060E81">
      <w:pPr>
        <w:jc w:val="both"/>
        <w:rPr>
          <w:bCs/>
        </w:rPr>
      </w:pPr>
    </w:p>
    <w:p w14:paraId="00DAFFBF" w14:textId="6825937F" w:rsidR="00060E81" w:rsidRPr="00060E81" w:rsidRDefault="00060E81" w:rsidP="00060E81">
      <w:pPr>
        <w:jc w:val="both"/>
        <w:rPr>
          <w:bCs/>
        </w:rPr>
      </w:pPr>
      <w:r w:rsidRPr="00060E81">
        <w:rPr>
          <w:bCs/>
        </w:rPr>
        <w:t>U slučaju da naručilac namjerava da primijeni zelenu javnu nabavku odnosno da koristi kriterijume</w:t>
      </w:r>
      <w:r>
        <w:rPr>
          <w:bCs/>
        </w:rPr>
        <w:t xml:space="preserve"> </w:t>
      </w:r>
      <w:r w:rsidRPr="00060E81">
        <w:rPr>
          <w:bCs/>
        </w:rPr>
        <w:t>za proizvode koji ne štete životnoj sredini, treba uzeti u obzir dodatne tehničke i finansijske aspekte</w:t>
      </w:r>
      <w:r>
        <w:rPr>
          <w:bCs/>
        </w:rPr>
        <w:t xml:space="preserve"> </w:t>
      </w:r>
      <w:r w:rsidRPr="00060E81">
        <w:rPr>
          <w:bCs/>
        </w:rPr>
        <w:t>zelene javne nabavke. Ekološki zahtjevi uključuju se u opis proizvoda putem tehničkih specifikacija,</w:t>
      </w:r>
      <w:r>
        <w:rPr>
          <w:bCs/>
        </w:rPr>
        <w:t xml:space="preserve"> </w:t>
      </w:r>
      <w:r w:rsidRPr="00060E81">
        <w:rPr>
          <w:bCs/>
        </w:rPr>
        <w:t>navođenjem ekooznaka koje proizvod mora imati, propisivanjem postupka proizvodnje za proizvod</w:t>
      </w:r>
      <w:r>
        <w:rPr>
          <w:bCs/>
        </w:rPr>
        <w:t xml:space="preserve"> </w:t>
      </w:r>
      <w:r w:rsidRPr="00060E81">
        <w:rPr>
          <w:bCs/>
        </w:rPr>
        <w:t>koji se nabavlja. Ekološki aspekti mogu imati ulogu i u zahtjevima koji se odnose na isporuku robe i</w:t>
      </w:r>
      <w:r>
        <w:rPr>
          <w:bCs/>
        </w:rPr>
        <w:t xml:space="preserve"> </w:t>
      </w:r>
      <w:r w:rsidRPr="00060E81">
        <w:rPr>
          <w:bCs/>
        </w:rPr>
        <w:t>njihovo pakovanje (veća pakovanja su ekološki prihvatljivija).</w:t>
      </w:r>
    </w:p>
    <w:p w14:paraId="65A302AB" w14:textId="77777777" w:rsidR="008D51B2" w:rsidRDefault="008D51B2" w:rsidP="00060E81">
      <w:pPr>
        <w:jc w:val="both"/>
        <w:rPr>
          <w:bCs/>
        </w:rPr>
      </w:pPr>
    </w:p>
    <w:p w14:paraId="704B3C8E" w14:textId="6F8F404F" w:rsidR="00060E81" w:rsidRPr="00060E81" w:rsidRDefault="00060E81" w:rsidP="00060E81">
      <w:pPr>
        <w:jc w:val="both"/>
        <w:rPr>
          <w:bCs/>
        </w:rPr>
      </w:pPr>
      <w:r w:rsidRPr="00060E81">
        <w:rPr>
          <w:bCs/>
        </w:rPr>
        <w:t>Kod određivanja minimalnih tehničkih specifikacija, primjera radi, može se tražiti proizvod koji ne</w:t>
      </w:r>
      <w:r>
        <w:rPr>
          <w:bCs/>
        </w:rPr>
        <w:t xml:space="preserve"> </w:t>
      </w:r>
      <w:r w:rsidRPr="00060E81">
        <w:rPr>
          <w:bCs/>
        </w:rPr>
        <w:t>sadrži određene hemikalije ili je izrađen od recikliranog materijala. Takođe, može se zahtijevati da</w:t>
      </w:r>
      <w:r>
        <w:rPr>
          <w:bCs/>
        </w:rPr>
        <w:t xml:space="preserve"> </w:t>
      </w:r>
      <w:r w:rsidRPr="00060E81">
        <w:rPr>
          <w:bCs/>
        </w:rPr>
        <w:t>proizvodi imaju eko-oznaku. Prema međunarodnoj normi ISO 14020:2000 eko-oznaka ili deklaracija</w:t>
      </w:r>
      <w:r>
        <w:rPr>
          <w:bCs/>
        </w:rPr>
        <w:t xml:space="preserve"> </w:t>
      </w:r>
      <w:r w:rsidRPr="00060E81">
        <w:rPr>
          <w:bCs/>
        </w:rPr>
        <w:t>o životnoj sredini može biti u obliku izjave, simbola ili grafike na proizvodu ili popratnoj dokumentaciji.</w:t>
      </w:r>
    </w:p>
    <w:p w14:paraId="359FF088" w14:textId="77777777" w:rsidR="00060E81" w:rsidRDefault="00060E81" w:rsidP="00060E81">
      <w:pPr>
        <w:jc w:val="both"/>
        <w:rPr>
          <w:bCs/>
        </w:rPr>
      </w:pPr>
    </w:p>
    <w:p w14:paraId="40CE4647" w14:textId="35BE6B67" w:rsidR="00C948B5" w:rsidRDefault="00060E81" w:rsidP="00060E81">
      <w:pPr>
        <w:jc w:val="both"/>
        <w:rPr>
          <w:bCs/>
        </w:rPr>
      </w:pPr>
      <w:r w:rsidRPr="00060E81">
        <w:rPr>
          <w:bCs/>
        </w:rPr>
        <w:t>Najpoznatija eko-oznaka je EU Ecolabel. Kroz zelenu javnu nabavku mogu se kupovati proizvodi</w:t>
      </w:r>
      <w:r>
        <w:rPr>
          <w:bCs/>
        </w:rPr>
        <w:t xml:space="preserve"> </w:t>
      </w:r>
      <w:r w:rsidRPr="00060E81">
        <w:rPr>
          <w:bCs/>
        </w:rPr>
        <w:t>koji nose oznaku EU Ecolabel ili ekvivalentnu oznaku. Naručilac u postupku javne nabavke mora</w:t>
      </w:r>
      <w:r>
        <w:rPr>
          <w:bCs/>
        </w:rPr>
        <w:t xml:space="preserve"> </w:t>
      </w:r>
      <w:r w:rsidRPr="00060E81">
        <w:rPr>
          <w:bCs/>
        </w:rPr>
        <w:t>prihvatiti svaku oznaku koja potvrđuje da sredstva zadovoljavaju zahtjeve za ekvivalentnu oznaku.</w:t>
      </w:r>
      <w:r>
        <w:rPr>
          <w:bCs/>
        </w:rPr>
        <w:t xml:space="preserve"> </w:t>
      </w:r>
      <w:r w:rsidRPr="00060E81">
        <w:rPr>
          <w:bCs/>
        </w:rPr>
        <w:t>Takođe, naručilac ne smije pri izračunavanju procijenjene vrijednosti nabavke zaboraviti da uključi i</w:t>
      </w:r>
      <w:r>
        <w:rPr>
          <w:bCs/>
        </w:rPr>
        <w:t xml:space="preserve"> </w:t>
      </w:r>
      <w:r w:rsidRPr="00060E81">
        <w:rPr>
          <w:bCs/>
        </w:rPr>
        <w:t>eventualne troškove ponuđača za isporuku robe na lokaciju koju naručilac odredi za</w:t>
      </w:r>
      <w:r>
        <w:rPr>
          <w:bCs/>
        </w:rPr>
        <w:t xml:space="preserve"> isporuku.</w:t>
      </w:r>
    </w:p>
    <w:p w14:paraId="416CB7E7" w14:textId="77777777" w:rsidR="00060E81" w:rsidRDefault="00060E81" w:rsidP="00060E81">
      <w:pPr>
        <w:jc w:val="both"/>
        <w:rPr>
          <w:bCs/>
        </w:rPr>
      </w:pPr>
    </w:p>
    <w:p w14:paraId="0E46B2E8" w14:textId="2209E44B" w:rsidR="00060E81" w:rsidRDefault="00060E81" w:rsidP="00060E81">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 w:name="_Hlk168058782"/>
      <w:r w:rsidRPr="00060E81">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Primjer </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060E81">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6"/>
      <w:r w:rsidRPr="00060E81">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Nabavka inženjerskih usluga projektovanja</w:t>
      </w:r>
    </w:p>
    <w:p w14:paraId="27EB2CD5" w14:textId="77777777" w:rsidR="00060E81" w:rsidRPr="00060E81" w:rsidRDefault="00060E81" w:rsidP="00060E81">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4A1BB0" w14:textId="77777777" w:rsidR="00060E81" w:rsidRPr="00060E81" w:rsidRDefault="00060E81" w:rsidP="00060E81">
      <w:pPr>
        <w:jc w:val="both"/>
        <w:rPr>
          <w:bCs/>
        </w:rPr>
      </w:pPr>
      <w:r w:rsidRPr="00060E81">
        <w:rPr>
          <w:bCs/>
        </w:rPr>
        <w:t>Procijenjena vrijednost nabavke inženjerskih usluga projektovanja proizilazi iz opisa predmeta</w:t>
      </w:r>
    </w:p>
    <w:p w14:paraId="2D3D0DB5" w14:textId="39B09807" w:rsidR="00060E81" w:rsidRPr="00060E81" w:rsidRDefault="00060E81" w:rsidP="00060E81">
      <w:pPr>
        <w:jc w:val="both"/>
        <w:rPr>
          <w:bCs/>
        </w:rPr>
      </w:pPr>
      <w:r w:rsidRPr="00060E81">
        <w:rPr>
          <w:bCs/>
        </w:rPr>
        <w:t>nabavke i očekivanog opsega usluge. Do nje naručilac dolazi procjenom potrebnog vremena rada</w:t>
      </w:r>
      <w:r>
        <w:rPr>
          <w:bCs/>
        </w:rPr>
        <w:t xml:space="preserve"> </w:t>
      </w:r>
      <w:r w:rsidRPr="00060E81">
        <w:rPr>
          <w:bCs/>
        </w:rPr>
        <w:t>svih stručnjaka potrebnih da se obavi predmetna usluga, jedinične cijene rada i svih povezanih</w:t>
      </w:r>
      <w:r>
        <w:rPr>
          <w:bCs/>
        </w:rPr>
        <w:t xml:space="preserve">  </w:t>
      </w:r>
      <w:r w:rsidRPr="00060E81">
        <w:rPr>
          <w:bCs/>
        </w:rPr>
        <w:t>materijalnih troškova koji su neophodni za izvršenje usluge.</w:t>
      </w:r>
    </w:p>
    <w:p w14:paraId="14AF75D1" w14:textId="77777777" w:rsidR="00060E81" w:rsidRDefault="00060E81" w:rsidP="00060E81">
      <w:pPr>
        <w:jc w:val="both"/>
        <w:rPr>
          <w:bCs/>
        </w:rPr>
      </w:pPr>
    </w:p>
    <w:p w14:paraId="12523185" w14:textId="08B4BEC5" w:rsidR="00060E81" w:rsidRPr="00060E81" w:rsidRDefault="00060E81" w:rsidP="00060E81">
      <w:pPr>
        <w:jc w:val="both"/>
        <w:rPr>
          <w:bCs/>
        </w:rPr>
      </w:pPr>
      <w:r w:rsidRPr="00060E81">
        <w:rPr>
          <w:bCs/>
        </w:rPr>
        <w:t>U procjeni vrijednosti nabavke inženjerskih usluga projektovanja bitno je obuhvatiti dinamiku i</w:t>
      </w:r>
      <w:r>
        <w:rPr>
          <w:bCs/>
        </w:rPr>
        <w:t xml:space="preserve"> </w:t>
      </w:r>
      <w:r w:rsidRPr="00060E81">
        <w:rPr>
          <w:bCs/>
        </w:rPr>
        <w:t>redosljed odvijanja usluge kao i utvrditi potrebe za određenim vrstama stručnjaka i njihove odnose</w:t>
      </w:r>
      <w:r>
        <w:rPr>
          <w:bCs/>
        </w:rPr>
        <w:t xml:space="preserve"> </w:t>
      </w:r>
      <w:r w:rsidRPr="00060E81">
        <w:rPr>
          <w:bCs/>
        </w:rPr>
        <w:t>u okviru predviđenih aktivnosti.</w:t>
      </w:r>
    </w:p>
    <w:p w14:paraId="439D769A" w14:textId="77777777" w:rsidR="00060E81" w:rsidRDefault="00060E81" w:rsidP="00060E81">
      <w:pPr>
        <w:jc w:val="both"/>
        <w:rPr>
          <w:bCs/>
        </w:rPr>
      </w:pPr>
    </w:p>
    <w:p w14:paraId="76426845" w14:textId="19072EDC" w:rsidR="00060E81" w:rsidRPr="00060E81" w:rsidRDefault="00060E81" w:rsidP="00060E81">
      <w:pPr>
        <w:jc w:val="both"/>
        <w:rPr>
          <w:bCs/>
        </w:rPr>
      </w:pPr>
      <w:r w:rsidRPr="00060E81">
        <w:rPr>
          <w:bCs/>
        </w:rPr>
        <w:t>Procijenjena vrijednost nabavke inženjerskih usluga određuje se kao proizvod procijenjenog</w:t>
      </w:r>
    </w:p>
    <w:p w14:paraId="6CA71EAB" w14:textId="77777777" w:rsidR="00060E81" w:rsidRPr="00060E81" w:rsidRDefault="00060E81" w:rsidP="00060E81">
      <w:pPr>
        <w:jc w:val="both"/>
        <w:rPr>
          <w:bCs/>
        </w:rPr>
      </w:pPr>
      <w:r w:rsidRPr="00060E81">
        <w:rPr>
          <w:bCs/>
        </w:rPr>
        <w:lastRenderedPageBreak/>
        <w:t>potrebnog vremena rada (norma sati) i cijene rada po jedinici vremena. Potrebno vrijeme rada</w:t>
      </w:r>
    </w:p>
    <w:p w14:paraId="42C73F06" w14:textId="0FFD3428" w:rsidR="00060E81" w:rsidRPr="00060E81" w:rsidRDefault="00060E81" w:rsidP="00060E81">
      <w:pPr>
        <w:jc w:val="both"/>
        <w:rPr>
          <w:bCs/>
        </w:rPr>
      </w:pPr>
      <w:r w:rsidRPr="00060E81">
        <w:rPr>
          <w:bCs/>
        </w:rPr>
        <w:t>određuje se na osnovu standarda usluga u zavisnosti od procijenjenih troškova građenja i stepena</w:t>
      </w:r>
      <w:r>
        <w:rPr>
          <w:bCs/>
        </w:rPr>
        <w:t xml:space="preserve"> </w:t>
      </w:r>
      <w:r w:rsidRPr="00060E81">
        <w:rPr>
          <w:bCs/>
        </w:rPr>
        <w:t>složenosti projekta za inženjersku uslugu.</w:t>
      </w:r>
      <w:r>
        <w:rPr>
          <w:bCs/>
        </w:rPr>
        <w:t xml:space="preserve"> </w:t>
      </w:r>
      <w:r w:rsidRPr="00060E81">
        <w:rPr>
          <w:bCs/>
        </w:rPr>
        <w:t>Norma sat je prosječni sat rada na pružanju usluge svih uključenih u projekat, a u cijeni norma sata</w:t>
      </w:r>
      <w:r>
        <w:rPr>
          <w:bCs/>
        </w:rPr>
        <w:t xml:space="preserve"> </w:t>
      </w:r>
      <w:r w:rsidRPr="00060E81">
        <w:rPr>
          <w:bCs/>
        </w:rPr>
        <w:t>sadržane su sve naknade i plate, licence za programsku opremu, amortizacija informatičke i druge</w:t>
      </w:r>
      <w:r>
        <w:rPr>
          <w:bCs/>
        </w:rPr>
        <w:t xml:space="preserve"> </w:t>
      </w:r>
      <w:r w:rsidRPr="00060E81">
        <w:rPr>
          <w:bCs/>
        </w:rPr>
        <w:t>opreme, zakup ili amortizacija prostora, putni troškovi, i drugi indirektni troškovi administracije,</w:t>
      </w:r>
      <w:r>
        <w:rPr>
          <w:bCs/>
        </w:rPr>
        <w:t xml:space="preserve"> </w:t>
      </w:r>
      <w:r w:rsidRPr="00060E81">
        <w:rPr>
          <w:bCs/>
        </w:rPr>
        <w:t>računovodstva i slično.</w:t>
      </w:r>
    </w:p>
    <w:p w14:paraId="7FCEE3E5" w14:textId="77777777" w:rsidR="00060E81" w:rsidRDefault="00060E81" w:rsidP="00060E81">
      <w:pPr>
        <w:jc w:val="both"/>
        <w:rPr>
          <w:bCs/>
        </w:rPr>
      </w:pPr>
    </w:p>
    <w:p w14:paraId="7676673B" w14:textId="52259754" w:rsidR="00060E81" w:rsidRPr="00060E81" w:rsidRDefault="00060E81" w:rsidP="00060E81">
      <w:pPr>
        <w:jc w:val="both"/>
        <w:rPr>
          <w:bCs/>
        </w:rPr>
      </w:pPr>
      <w:r w:rsidRPr="00060E81">
        <w:rPr>
          <w:bCs/>
        </w:rPr>
        <w:t>Dobro i vjerodostojno procijenjena vrijednost nabavke daje naručiocu sigurnost u ocjeni ponuđenih</w:t>
      </w:r>
      <w:r>
        <w:rPr>
          <w:bCs/>
        </w:rPr>
        <w:t xml:space="preserve"> </w:t>
      </w:r>
      <w:r w:rsidRPr="00060E81">
        <w:rPr>
          <w:bCs/>
        </w:rPr>
        <w:t>cijena. Neusklađenost procijenjene vrijednosti nabavke i opisa predmeta nabavke, odnosno opsega</w:t>
      </w:r>
      <w:r>
        <w:rPr>
          <w:bCs/>
        </w:rPr>
        <w:t xml:space="preserve"> </w:t>
      </w:r>
      <w:r w:rsidRPr="00060E81">
        <w:rPr>
          <w:bCs/>
        </w:rPr>
        <w:t>usluge može dovesti ponuđača u zabludu u sagledavanju njegovih obaveza, detaljnosti i nivoa</w:t>
      </w:r>
      <w:r>
        <w:rPr>
          <w:bCs/>
        </w:rPr>
        <w:t xml:space="preserve"> </w:t>
      </w:r>
      <w:r w:rsidRPr="00060E81">
        <w:rPr>
          <w:bCs/>
        </w:rPr>
        <w:t>obrade i utvrđivanja cijene ponude.</w:t>
      </w:r>
    </w:p>
    <w:p w14:paraId="25D3B2C1" w14:textId="77777777" w:rsidR="00060E81" w:rsidRDefault="00060E81" w:rsidP="00060E81">
      <w:pPr>
        <w:jc w:val="both"/>
        <w:rPr>
          <w:bCs/>
        </w:rPr>
      </w:pPr>
    </w:p>
    <w:p w14:paraId="305AFBBB" w14:textId="3C7E318B" w:rsidR="00060E81" w:rsidRDefault="00060E81" w:rsidP="00060E81">
      <w:pPr>
        <w:jc w:val="both"/>
        <w:rPr>
          <w:bCs/>
        </w:rPr>
      </w:pPr>
      <w:r w:rsidRPr="00060E81">
        <w:rPr>
          <w:bCs/>
        </w:rPr>
        <w:t>U tom smislu značajne razlike između ponuđenih cijena i procijenjene vrijednosti nabavke upućuju</w:t>
      </w:r>
      <w:r>
        <w:rPr>
          <w:bCs/>
        </w:rPr>
        <w:t xml:space="preserve"> </w:t>
      </w:r>
      <w:r w:rsidRPr="00060E81">
        <w:rPr>
          <w:bCs/>
        </w:rPr>
        <w:t>prvenstveno na ponuđačevo nerazumijevanje opsega i traženog kvaliteta predmeta nabavke ili na</w:t>
      </w:r>
      <w:r>
        <w:rPr>
          <w:bCs/>
        </w:rPr>
        <w:t xml:space="preserve"> </w:t>
      </w:r>
      <w:r w:rsidRPr="00060E81">
        <w:rPr>
          <w:bCs/>
        </w:rPr>
        <w:t>nedovoljno opisan predmet nabavke od strane naručioca.</w:t>
      </w:r>
    </w:p>
    <w:p w14:paraId="2E68840B" w14:textId="77777777" w:rsidR="00060E81" w:rsidRPr="00060E81" w:rsidRDefault="00060E81" w:rsidP="00060E81">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2480F3" w14:textId="44DA619F" w:rsidR="00060E81" w:rsidRPr="00060E81" w:rsidRDefault="00060E81" w:rsidP="00060E81">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0E81">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Primjer </w:t>
      </w: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060E81">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Izgradnja sportske dvorane osnovne škole</w:t>
      </w:r>
    </w:p>
    <w:p w14:paraId="0E8046EB" w14:textId="77777777" w:rsidR="00060E81" w:rsidRDefault="00060E81" w:rsidP="00060E81">
      <w:pPr>
        <w:jc w:val="both"/>
        <w:rPr>
          <w:bCs/>
        </w:rPr>
      </w:pPr>
    </w:p>
    <w:p w14:paraId="4873B535" w14:textId="08DFD879" w:rsidR="00060E81" w:rsidRPr="00060E81" w:rsidRDefault="00060E81" w:rsidP="00060E81">
      <w:pPr>
        <w:jc w:val="both"/>
        <w:rPr>
          <w:bCs/>
        </w:rPr>
      </w:pPr>
      <w:r w:rsidRPr="00060E81">
        <w:rPr>
          <w:bCs/>
        </w:rPr>
        <w:t>Za izračunavanje procijenjene vrijednosti nabavke građevinskih radova potrebno je dobro</w:t>
      </w:r>
    </w:p>
    <w:p w14:paraId="6CEE3070" w14:textId="19382AD5" w:rsidR="00060E81" w:rsidRPr="00060E81" w:rsidRDefault="00060E81" w:rsidP="00060E81">
      <w:pPr>
        <w:jc w:val="both"/>
        <w:rPr>
          <w:bCs/>
        </w:rPr>
      </w:pPr>
      <w:r w:rsidRPr="00060E81">
        <w:rPr>
          <w:bCs/>
        </w:rPr>
        <w:t>poznavanje zakona i propisa iz područja gradnje. Po pravilu, u izračunavanju procijenjene vrijednosti</w:t>
      </w:r>
      <w:r>
        <w:rPr>
          <w:bCs/>
        </w:rPr>
        <w:t xml:space="preserve"> </w:t>
      </w:r>
      <w:r w:rsidRPr="00060E81">
        <w:rPr>
          <w:bCs/>
        </w:rPr>
        <w:t>nabavke radova najveći uticaj ima projektant koji u okviru projektovanja građevine izrađuje i</w:t>
      </w:r>
      <w:r>
        <w:rPr>
          <w:bCs/>
        </w:rPr>
        <w:t xml:space="preserve"> </w:t>
      </w:r>
      <w:r w:rsidRPr="00060E81">
        <w:rPr>
          <w:bCs/>
        </w:rPr>
        <w:t>projektantski troškovnik koji sadrži procjenu radova. Radovi se moraju izvesti u skladu sa</w:t>
      </w:r>
      <w:r>
        <w:rPr>
          <w:bCs/>
        </w:rPr>
        <w:t xml:space="preserve"> </w:t>
      </w:r>
      <w:r w:rsidRPr="00060E81">
        <w:rPr>
          <w:bCs/>
        </w:rPr>
        <w:t>građevinskom dozvolom koja je dobijena na osnovu zadovoljenja svih uslova u postupku pribavljanja</w:t>
      </w:r>
      <w:r>
        <w:rPr>
          <w:bCs/>
        </w:rPr>
        <w:t xml:space="preserve"> </w:t>
      </w:r>
      <w:r w:rsidRPr="00060E81">
        <w:rPr>
          <w:bCs/>
        </w:rPr>
        <w:t>građevinske dozvole (glavni projekt koji je izradilo ovlašćeno lice (projektant) te sve druge potrebne</w:t>
      </w:r>
      <w:r>
        <w:rPr>
          <w:bCs/>
        </w:rPr>
        <w:t xml:space="preserve"> </w:t>
      </w:r>
      <w:r w:rsidRPr="00060E81">
        <w:rPr>
          <w:bCs/>
        </w:rPr>
        <w:t>dokumentacije).</w:t>
      </w:r>
    </w:p>
    <w:p w14:paraId="1D07D497" w14:textId="41DAFD98" w:rsidR="00060E81" w:rsidRPr="00060E81" w:rsidRDefault="00060E81" w:rsidP="00060E81">
      <w:pPr>
        <w:jc w:val="both"/>
        <w:rPr>
          <w:bCs/>
        </w:rPr>
      </w:pPr>
      <w:r w:rsidRPr="00060E81">
        <w:rPr>
          <w:bCs/>
        </w:rPr>
        <w:t>Prilikom definisanja predmeta nabavke i izračunavanja procijenjene vrijednosti nabavke važno je</w:t>
      </w:r>
      <w:r>
        <w:rPr>
          <w:bCs/>
        </w:rPr>
        <w:t xml:space="preserve"> </w:t>
      </w:r>
      <w:r w:rsidRPr="00060E81">
        <w:rPr>
          <w:bCs/>
        </w:rPr>
        <w:t>znati da se građevinski radovi smatraju jedinstvenom kapitalnom cjelinom pa stoga podjela predmeta</w:t>
      </w:r>
      <w:r>
        <w:rPr>
          <w:bCs/>
        </w:rPr>
        <w:t xml:space="preserve"> </w:t>
      </w:r>
      <w:r w:rsidRPr="00060E81">
        <w:rPr>
          <w:bCs/>
        </w:rPr>
        <w:t>nabavke na partije u izvođenju građevinskih radova nikako nije primjenjiva.</w:t>
      </w:r>
    </w:p>
    <w:p w14:paraId="63169059" w14:textId="77777777" w:rsidR="00060E81" w:rsidRDefault="00060E81" w:rsidP="00060E81">
      <w:pPr>
        <w:jc w:val="both"/>
        <w:rPr>
          <w:bCs/>
        </w:rPr>
      </w:pPr>
    </w:p>
    <w:p w14:paraId="50736ECF" w14:textId="093F7921" w:rsidR="00060E81" w:rsidRPr="00060E81" w:rsidRDefault="00060E81" w:rsidP="00060E81">
      <w:pPr>
        <w:jc w:val="both"/>
        <w:rPr>
          <w:bCs/>
        </w:rPr>
      </w:pPr>
      <w:r w:rsidRPr="00060E81">
        <w:rPr>
          <w:bCs/>
        </w:rPr>
        <w:t>U izračunavanje procijenjene vrijednosti nabavke naručilac treba da obuhvati opseg i složenost</w:t>
      </w:r>
    </w:p>
    <w:p w14:paraId="537473F5" w14:textId="00EEA9D0" w:rsidR="00060E81" w:rsidRPr="00060E81" w:rsidRDefault="00060E81" w:rsidP="00060E81">
      <w:pPr>
        <w:jc w:val="both"/>
        <w:rPr>
          <w:bCs/>
        </w:rPr>
      </w:pPr>
      <w:r w:rsidRPr="00060E81">
        <w:rPr>
          <w:bCs/>
        </w:rPr>
        <w:t>projekta te predviđenu dinamiku radova do finalizacije. Ponuđač je dužan tokom izvršenja ugovora</w:t>
      </w:r>
      <w:r>
        <w:rPr>
          <w:bCs/>
        </w:rPr>
        <w:t xml:space="preserve"> </w:t>
      </w:r>
      <w:r w:rsidRPr="00060E81">
        <w:rPr>
          <w:bCs/>
        </w:rPr>
        <w:t>da izvodi radove i ugrađuje materijal/opremu i isporuči opremu propisanog i ugovorenog kvaliteta u</w:t>
      </w:r>
      <w:r>
        <w:rPr>
          <w:bCs/>
        </w:rPr>
        <w:t xml:space="preserve"> </w:t>
      </w:r>
      <w:r w:rsidRPr="00060E81">
        <w:rPr>
          <w:bCs/>
        </w:rPr>
        <w:t>skladu sa uslovima i karakteristikama navedenim u projektnoj dokumentaciji i troškovniku, što će se</w:t>
      </w:r>
      <w:r>
        <w:rPr>
          <w:bCs/>
        </w:rPr>
        <w:t xml:space="preserve"> </w:t>
      </w:r>
      <w:r w:rsidRPr="00060E81">
        <w:rPr>
          <w:bCs/>
        </w:rPr>
        <w:t>kontrolisati tokom izvršenja ugovora, a posebno prije ugradnje/instalacije ili isporuke</w:t>
      </w:r>
      <w:r>
        <w:rPr>
          <w:bCs/>
        </w:rPr>
        <w:t xml:space="preserve"> </w:t>
      </w:r>
      <w:r w:rsidRPr="00060E81">
        <w:rPr>
          <w:bCs/>
        </w:rPr>
        <w:t>materijala/opreme. Naručilac treba voditi računa da osigura i određena finansijska sredstva za</w:t>
      </w:r>
      <w:r>
        <w:rPr>
          <w:bCs/>
        </w:rPr>
        <w:t xml:space="preserve"> </w:t>
      </w:r>
      <w:r w:rsidRPr="00060E81">
        <w:rPr>
          <w:bCs/>
        </w:rPr>
        <w:t>eventualne naknadne troškove otkrivanja, saniranja i naknadnih ispitivanja radova, a na koje izvođač</w:t>
      </w:r>
      <w:r>
        <w:rPr>
          <w:bCs/>
        </w:rPr>
        <w:t xml:space="preserve"> </w:t>
      </w:r>
      <w:r w:rsidRPr="00060E81">
        <w:rPr>
          <w:bCs/>
        </w:rPr>
        <w:t>nije imao uticaj.</w:t>
      </w:r>
    </w:p>
    <w:p w14:paraId="0365381E" w14:textId="77777777" w:rsidR="00060E81" w:rsidRDefault="00060E81" w:rsidP="00060E81">
      <w:pPr>
        <w:jc w:val="both"/>
        <w:rPr>
          <w:bCs/>
        </w:rPr>
      </w:pPr>
    </w:p>
    <w:p w14:paraId="2C5B8414" w14:textId="206ABB12" w:rsidR="00060E81" w:rsidRDefault="00060E81" w:rsidP="00060E81">
      <w:pPr>
        <w:jc w:val="both"/>
        <w:rPr>
          <w:bCs/>
        </w:rPr>
      </w:pPr>
      <w:r w:rsidRPr="00060E81">
        <w:rPr>
          <w:bCs/>
        </w:rPr>
        <w:t>Prije izrade i dostavljanja ponude naručilac može preporučiti zainteresovanim privrednim subjektima</w:t>
      </w:r>
      <w:r>
        <w:rPr>
          <w:bCs/>
        </w:rPr>
        <w:t xml:space="preserve"> </w:t>
      </w:r>
      <w:r w:rsidRPr="00060E81">
        <w:rPr>
          <w:bCs/>
        </w:rPr>
        <w:t>da izvrše obilazak lokacije na kojoj će se izvoditi radovi te po potrebi i uvid u tehničku dokumentaciju</w:t>
      </w:r>
      <w:r>
        <w:rPr>
          <w:bCs/>
        </w:rPr>
        <w:t xml:space="preserve"> </w:t>
      </w:r>
      <w:r w:rsidRPr="00060E81">
        <w:rPr>
          <w:bCs/>
        </w:rPr>
        <w:t>kako bi se mogli upoznati sa svim uslovima na terenu u svrhu procjene svih rizika i elemenata</w:t>
      </w:r>
      <w:r>
        <w:rPr>
          <w:bCs/>
        </w:rPr>
        <w:t xml:space="preserve"> </w:t>
      </w:r>
      <w:r w:rsidRPr="00060E81">
        <w:rPr>
          <w:bCs/>
        </w:rPr>
        <w:t>potrebnih za podnošenje cjelovite ponude.</w:t>
      </w:r>
    </w:p>
    <w:p w14:paraId="7CC43694" w14:textId="2ED88029" w:rsidR="007E01B2" w:rsidRPr="00AE2653" w:rsidRDefault="007E01B2" w:rsidP="00AE2653">
      <w:pPr>
        <w:pStyle w:val="Heading1"/>
        <w:rPr>
          <w:bCs/>
        </w:rPr>
      </w:pPr>
      <w:bookmarkStart w:id="7" w:name="_Toc168432485"/>
      <w:r w:rsidRPr="00AE2653">
        <w:t>Prekršajne odredbe član 116. Zakona</w:t>
      </w:r>
      <w:bookmarkEnd w:id="7"/>
    </w:p>
    <w:p w14:paraId="0E6EBAAA" w14:textId="77777777" w:rsidR="007E01B2" w:rsidRPr="007E01B2" w:rsidRDefault="007E01B2" w:rsidP="007E01B2">
      <w:pPr>
        <w:jc w:val="both"/>
        <w:rPr>
          <w:bCs/>
        </w:rPr>
      </w:pPr>
    </w:p>
    <w:p w14:paraId="48FBB8A4" w14:textId="77777777" w:rsidR="007E01B2" w:rsidRDefault="007E01B2" w:rsidP="007E01B2">
      <w:pPr>
        <w:jc w:val="both"/>
        <w:rPr>
          <w:bCs/>
        </w:rPr>
      </w:pPr>
      <w:r w:rsidRPr="007E01B2">
        <w:rPr>
          <w:bCs/>
        </w:rPr>
        <w:t xml:space="preserve">U članu 116. Prekršajne odredbe stav (2) tačka c) Zakona navedeno je: „ako se ne pridržava uslova i načina javne nabavke prema procijenjenim vrijednostima i dijeli vrijednost nabavke s namjerom izbjegavanja primjene propisanog postupka nabavke. Dakle, predviđena je i novčana kazna za ugovorne organe u iznosu od 1.500,00 do 15.000,00 KM ukoliko ne poštuju ove </w:t>
      </w:r>
      <w:r w:rsidRPr="007E01B2">
        <w:rPr>
          <w:bCs/>
        </w:rPr>
        <w:lastRenderedPageBreak/>
        <w:t>odredbe, kao i novčana kazna u iznosu od 300,00 do 3.000,00 KM za odgovorno lice u ugovornom organu.</w:t>
      </w:r>
    </w:p>
    <w:p w14:paraId="6B59E25F" w14:textId="77777777" w:rsidR="006D433D" w:rsidRDefault="006D433D" w:rsidP="007E01B2">
      <w:pPr>
        <w:jc w:val="both"/>
        <w:rPr>
          <w:bCs/>
        </w:rPr>
      </w:pPr>
    </w:p>
    <w:p w14:paraId="6B85093A" w14:textId="2A484B57" w:rsidR="006D433D" w:rsidRPr="00795D3B" w:rsidRDefault="000D3A23" w:rsidP="00795D3B">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D3B">
        <w:rPr>
          <w:noProof/>
        </w:rPr>
        <w:drawing>
          <wp:anchor distT="0" distB="0" distL="114300" distR="114300" simplePos="0" relativeHeight="251658240" behindDoc="1" locked="0" layoutInCell="1" allowOverlap="1" wp14:anchorId="38FEE973" wp14:editId="682C26A0">
            <wp:simplePos x="0" y="0"/>
            <wp:positionH relativeFrom="margin">
              <wp:posOffset>-28575</wp:posOffset>
            </wp:positionH>
            <wp:positionV relativeFrom="paragraph">
              <wp:posOffset>87630</wp:posOffset>
            </wp:positionV>
            <wp:extent cx="5759450" cy="1961515"/>
            <wp:effectExtent l="0" t="0" r="0" b="635"/>
            <wp:wrapTight wrapText="bothSides">
              <wp:wrapPolygon edited="0">
                <wp:start x="17290" y="5035"/>
                <wp:lineTo x="572" y="5454"/>
                <wp:lineTo x="429" y="8391"/>
                <wp:lineTo x="1000" y="8811"/>
                <wp:lineTo x="500" y="9650"/>
                <wp:lineTo x="429" y="21397"/>
                <wp:lineTo x="857" y="21397"/>
                <wp:lineTo x="9431" y="20978"/>
                <wp:lineTo x="9359" y="18880"/>
                <wp:lineTo x="9788" y="15523"/>
                <wp:lineTo x="9931" y="13006"/>
                <wp:lineTo x="20576" y="12167"/>
                <wp:lineTo x="20719" y="9230"/>
                <wp:lineTo x="20433" y="8601"/>
                <wp:lineTo x="20790" y="5454"/>
                <wp:lineTo x="17718" y="5035"/>
                <wp:lineTo x="17290" y="5035"/>
              </wp:wrapPolygon>
            </wp:wrapTight>
            <wp:docPr id="652144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961515"/>
                    </a:xfrm>
                    <a:prstGeom prst="rect">
                      <a:avLst/>
                    </a:prstGeom>
                    <a:noFill/>
                    <a:ln>
                      <a:noFill/>
                    </a:ln>
                  </pic:spPr>
                </pic:pic>
              </a:graphicData>
            </a:graphic>
          </wp:anchor>
        </w:drawing>
      </w:r>
      <w:r w:rsidR="00795D3B">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433D" w:rsidRPr="00795D3B">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Izvještaj o praćenju postupaka javne nabavke </w:t>
      </w:r>
    </w:p>
    <w:p w14:paraId="22FED57A" w14:textId="73FE7C52" w:rsidR="000D3A23" w:rsidRDefault="000D3A23" w:rsidP="000D3A23">
      <w:pPr>
        <w:jc w:val="both"/>
        <w:rPr>
          <w:b/>
        </w:rPr>
      </w:pPr>
    </w:p>
    <w:p w14:paraId="5E0C609D" w14:textId="69CE5894" w:rsidR="000D3A23" w:rsidRDefault="000D3A23" w:rsidP="000D3A23">
      <w:pPr>
        <w:jc w:val="both"/>
        <w:rPr>
          <w:b/>
        </w:rPr>
      </w:pPr>
    </w:p>
    <w:p w14:paraId="512FF478" w14:textId="747454E2" w:rsidR="000D3A23" w:rsidRDefault="000D3A23" w:rsidP="000D3A23">
      <w:pPr>
        <w:jc w:val="both"/>
        <w:rPr>
          <w:b/>
        </w:rPr>
      </w:pPr>
    </w:p>
    <w:p w14:paraId="71FB02BC" w14:textId="77777777" w:rsidR="000D3A23" w:rsidRDefault="000D3A23" w:rsidP="000D3A23">
      <w:pPr>
        <w:jc w:val="both"/>
        <w:rPr>
          <w:b/>
        </w:rPr>
      </w:pPr>
    </w:p>
    <w:p w14:paraId="5DFB5E8F" w14:textId="77777777" w:rsidR="000D3A23" w:rsidRDefault="000D3A23" w:rsidP="000D3A23">
      <w:pPr>
        <w:jc w:val="both"/>
        <w:rPr>
          <w:b/>
        </w:rPr>
      </w:pPr>
    </w:p>
    <w:p w14:paraId="1055B441" w14:textId="77777777" w:rsidR="000D3A23" w:rsidRDefault="000D3A23" w:rsidP="000D3A23">
      <w:pPr>
        <w:jc w:val="both"/>
        <w:rPr>
          <w:b/>
        </w:rPr>
      </w:pPr>
    </w:p>
    <w:p w14:paraId="5EF3AF8A" w14:textId="77777777" w:rsidR="00BD05C5" w:rsidRDefault="00BD05C5" w:rsidP="00BD05C5">
      <w:pPr>
        <w:jc w:val="both"/>
        <w:rPr>
          <w:b/>
        </w:rPr>
      </w:pPr>
    </w:p>
    <w:p w14:paraId="5D7E0712" w14:textId="77777777" w:rsidR="003F62B1" w:rsidRPr="00A97226" w:rsidRDefault="003F62B1" w:rsidP="006D433D">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6A472C" w14:textId="34B581C7" w:rsidR="003F62B1" w:rsidRPr="00A97226" w:rsidRDefault="003F62B1" w:rsidP="003F62B1">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Podatak iz Izvještaja“    </w:t>
      </w:r>
    </w:p>
    <w:p w14:paraId="18799686" w14:textId="77777777" w:rsidR="003F62B1" w:rsidRDefault="003F62B1" w:rsidP="006D433D">
      <w:pPr>
        <w:jc w:val="both"/>
        <w:rPr>
          <w:bCs/>
        </w:rPr>
      </w:pPr>
    </w:p>
    <w:p w14:paraId="71495D2D" w14:textId="076A6A38" w:rsidR="00C82C3A" w:rsidRDefault="006D433D" w:rsidP="006D433D">
      <w:pPr>
        <w:jc w:val="both"/>
        <w:rPr>
          <w:bCs/>
        </w:rPr>
      </w:pPr>
      <w:r w:rsidRPr="006D433D">
        <w:rPr>
          <w:bCs/>
        </w:rPr>
        <w:t>„Cijepanje“ javnih nabavki radi izbjegavanja provođenja odgovarajućeg postupka javne nabavke, te provođenje više postupaka direktnih sporazuma za istovrsne predmete nabavke</w:t>
      </w:r>
      <w:r>
        <w:rPr>
          <w:bCs/>
        </w:rPr>
        <w:t>.</w:t>
      </w:r>
    </w:p>
    <w:p w14:paraId="4AF4A775" w14:textId="77777777" w:rsidR="00C82C3A" w:rsidRPr="00C82C3A" w:rsidRDefault="00C82C3A" w:rsidP="006D433D">
      <w:pPr>
        <w:jc w:val="both"/>
        <w:rPr>
          <w:bCs/>
        </w:rPr>
      </w:pPr>
    </w:p>
    <w:p w14:paraId="3F8FFC9D" w14:textId="7336CA84" w:rsidR="006D433D" w:rsidRDefault="006D433D" w:rsidP="006D433D">
      <w:pPr>
        <w:jc w:val="both"/>
        <w:rPr>
          <w:bCs/>
        </w:rPr>
      </w:pPr>
      <w:r w:rsidRPr="00C82C3A">
        <w:rPr>
          <w:bCs/>
        </w:rPr>
        <w:t>„Cijepanje“ nabavki je problem kod ugovornih organa koji nemaju odgovarajuće resurse kako kadrovske, tako i materijalne, te poslove nabavki vrše ili službe za komercijalu, ili finansije, ili sekretari u školama. U ovakvim situacijama, i pored edukativnog i preventivnog djelovanja, ni represivne mjere ne mogu unaprijediti stanje. Ono što se kroz praćenje uočava da se ne koriste alati koje osnivači tih ugovornih orghana imaju, a to je provođenje zajedničkih nabavki za napr. škole ili za centre za socijalni rad, ili za centre za kulturu i sl.</w:t>
      </w:r>
    </w:p>
    <w:p w14:paraId="03533502" w14:textId="77777777" w:rsidR="00BD05C5" w:rsidRDefault="00BD05C5" w:rsidP="006D433D">
      <w:pPr>
        <w:jc w:val="both"/>
        <w:rPr>
          <w:bCs/>
        </w:rPr>
      </w:pPr>
    </w:p>
    <w:p w14:paraId="7A6FF280" w14:textId="77777777" w:rsidR="00BD05C5" w:rsidRPr="00BD05C5" w:rsidRDefault="00BD05C5" w:rsidP="00BD05C5">
      <w:pPr>
        <w:jc w:val="both"/>
        <w:rPr>
          <w:bCs/>
        </w:rPr>
      </w:pPr>
      <w:r w:rsidRPr="00BD05C5">
        <w:rPr>
          <w:bCs/>
        </w:rPr>
        <w:t>Odredbom člana 15. stav (2) tačka b) Zakona o javnim nabavkama (u daljem tekstu: Zakon) propisano je da procijenjenu vrijednost robe, usluga ili radova čini njihova procijenjena tržišna vrijednost u vrijeme objavljivanja obavještenja o javnoj nabavci ili, u slučajevima kada takvo obavještenje nije potrebno, u trenutku kada ugovorni organ započinje postupak javne nabavke.</w:t>
      </w:r>
    </w:p>
    <w:p w14:paraId="33B71136" w14:textId="77777777" w:rsidR="00BD05C5" w:rsidRPr="00BD05C5" w:rsidRDefault="00BD05C5" w:rsidP="00BD05C5">
      <w:pPr>
        <w:jc w:val="both"/>
        <w:rPr>
          <w:bCs/>
        </w:rPr>
      </w:pPr>
    </w:p>
    <w:p w14:paraId="111C1013" w14:textId="77777777" w:rsidR="00BD05C5" w:rsidRPr="00BD05C5" w:rsidRDefault="00BD05C5" w:rsidP="00BD05C5">
      <w:pPr>
        <w:jc w:val="both"/>
        <w:rPr>
          <w:bCs/>
        </w:rPr>
      </w:pPr>
      <w:r w:rsidRPr="00BD05C5">
        <w:rPr>
          <w:bCs/>
        </w:rPr>
        <w:t xml:space="preserve">Nadalje, tačkom d) navednog stava i člana Zakona propisano je da ako je javna nabavka robe, usluga ili radova podijeljena u nekoliko lotova, procijenjena vrijednost predstavlja zbir svih takvih lotova i ona se koristi za određivanje vrijednosnog razreda te nabavke. Dakle, ta vrijednost odredit će koje se poglavlje Zakona primjenjuje na postupak dodjele ugovora. </w:t>
      </w:r>
    </w:p>
    <w:p w14:paraId="7CA15901" w14:textId="77777777" w:rsidR="00BD05C5" w:rsidRPr="00BD05C5" w:rsidRDefault="00BD05C5" w:rsidP="00BD05C5">
      <w:pPr>
        <w:jc w:val="both"/>
        <w:rPr>
          <w:bCs/>
        </w:rPr>
      </w:pPr>
    </w:p>
    <w:p w14:paraId="54E06CBB" w14:textId="77777777" w:rsidR="00BD05C5" w:rsidRPr="00BD05C5" w:rsidRDefault="00BD05C5" w:rsidP="00BD05C5">
      <w:pPr>
        <w:jc w:val="both"/>
        <w:rPr>
          <w:bCs/>
        </w:rPr>
      </w:pPr>
      <w:r w:rsidRPr="00BD05C5">
        <w:rPr>
          <w:bCs/>
        </w:rPr>
        <w:t>Stavom (6) navedenog člana Zakona propisano je da ugovornom organu nije dozvoljeno dijeljenje predmeta nabavke s namjerom izbjegavanja primjene odgovarajućeg postupka definiranog Zakonom.</w:t>
      </w:r>
    </w:p>
    <w:p w14:paraId="40EC54A8" w14:textId="77777777" w:rsidR="000616F1" w:rsidRDefault="000616F1" w:rsidP="00BD05C5">
      <w:pPr>
        <w:jc w:val="both"/>
        <w:rPr>
          <w:bCs/>
        </w:rPr>
      </w:pPr>
    </w:p>
    <w:p w14:paraId="2106CE02" w14:textId="3D2F3647" w:rsidR="00BD05C5" w:rsidRPr="00BD05C5" w:rsidRDefault="000616F1" w:rsidP="00BD05C5">
      <w:pPr>
        <w:jc w:val="both"/>
        <w:rPr>
          <w:bCs/>
        </w:rPr>
      </w:pPr>
      <w:r>
        <w:rPr>
          <w:bCs/>
        </w:rPr>
        <w:t>U</w:t>
      </w:r>
      <w:r w:rsidR="00BD05C5" w:rsidRPr="00BD05C5">
        <w:rPr>
          <w:bCs/>
        </w:rPr>
        <w:t xml:space="preserve">govor može biti podijeljen samo ako su svi njegovi dijelovi predmet istog postupka javne nabavke koji bi se koristio i kod samo jednog ukupnog ugovora. Drugim riječima, sve dok dijeljenje ugovora ne utiče na izbor postupka javne nabavke, dijeljenje je dozvoljeno. Dijeljenje nabavke je pogrešno ukoliko je ugovorni organ, kako smo naprijed naveli, imao namjeru da izbjegne primjenu određenog postupka propisanog Zakonom. </w:t>
      </w:r>
    </w:p>
    <w:p w14:paraId="1D19F7C6" w14:textId="77777777" w:rsidR="00BD05C5" w:rsidRPr="00BD05C5" w:rsidRDefault="00BD05C5" w:rsidP="00BD05C5">
      <w:pPr>
        <w:jc w:val="both"/>
        <w:rPr>
          <w:bCs/>
        </w:rPr>
      </w:pPr>
    </w:p>
    <w:p w14:paraId="6F497BD5" w14:textId="57421BDB" w:rsidR="00BD05C5" w:rsidRDefault="00BD05C5" w:rsidP="00BD05C5">
      <w:pPr>
        <w:jc w:val="both"/>
        <w:rPr>
          <w:bCs/>
        </w:rPr>
      </w:pPr>
      <w:r w:rsidRPr="00BD05C5">
        <w:rPr>
          <w:bCs/>
        </w:rPr>
        <w:lastRenderedPageBreak/>
        <w:t>Naime, osnovni princip je da se može provesti više istih postupaka za isti predmet nabavke s tim da zbir vrijednosti tih postupaka ne prelazi granicu vrijednosnog razreda određenog za taj postupak. Dakle, moguće je provesti i više različitih postupaka kao što je na primjer otvoreni i konkurentski zahtjev za dostavu ponuda s tim da vrijednost ova dva postupka ne prelazi granicu za „niži vrijednosni razred“, u ovom slučaju vrijednost određenu za konkurentski zahtjev. Isto pravilo važi i u slučaju na primjer konkurentskog zahtjeva za dostavu ponuda i postupka direktnog sporazuma.</w:t>
      </w:r>
    </w:p>
    <w:p w14:paraId="00264F4A" w14:textId="77777777" w:rsidR="00060E81" w:rsidRDefault="00060E81" w:rsidP="00BD05C5">
      <w:pPr>
        <w:jc w:val="both"/>
        <w:rPr>
          <w:bCs/>
        </w:rPr>
      </w:pPr>
    </w:p>
    <w:p w14:paraId="5252E1E5" w14:textId="70739050" w:rsidR="00060E81" w:rsidRDefault="00060E81" w:rsidP="00BD05C5">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0E81">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Primjer iz prakse:</w:t>
      </w:r>
    </w:p>
    <w:p w14:paraId="3CEA1734" w14:textId="77777777" w:rsidR="003336AE" w:rsidRDefault="003336AE" w:rsidP="00BD05C5">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720190" w14:textId="7FD55139" w:rsidR="003336AE" w:rsidRDefault="003336AE" w:rsidP="00BD05C5">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Nabavka usluga internet operatera i usluga fiksne i mobilne telefonije</w:t>
      </w:r>
    </w:p>
    <w:p w14:paraId="68FFC85C" w14:textId="77777777" w:rsidR="003336AE" w:rsidRDefault="003336AE" w:rsidP="00BD05C5">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2A782F" w14:textId="6EFF1502" w:rsidR="003336AE" w:rsidRPr="003336AE" w:rsidRDefault="003336AE" w:rsidP="003336AE">
      <w:pPr>
        <w:jc w:val="both"/>
      </w:pPr>
      <w:r>
        <w:rPr>
          <w:bCs/>
        </w:rPr>
        <w:t>U</w:t>
      </w:r>
      <w:r w:rsidRPr="00B60874">
        <w:rPr>
          <w:bCs/>
        </w:rPr>
        <w:t xml:space="preserve">zevši u obzir Jedinstveni riječnik javnih </w:t>
      </w:r>
      <w:r>
        <w:rPr>
          <w:bCs/>
        </w:rPr>
        <w:t>nabavki</w:t>
      </w:r>
      <w:r w:rsidRPr="00B60874">
        <w:rPr>
          <w:bCs/>
        </w:rPr>
        <w:t xml:space="preserve"> (u </w:t>
      </w:r>
      <w:r>
        <w:rPr>
          <w:bCs/>
        </w:rPr>
        <w:t>daljem</w:t>
      </w:r>
      <w:r w:rsidRPr="00B60874">
        <w:rPr>
          <w:bCs/>
        </w:rPr>
        <w:t xml:space="preserve"> tekstu: JRJN), čija primjena je </w:t>
      </w:r>
      <w:r>
        <w:rPr>
          <w:bCs/>
        </w:rPr>
        <w:t>obavezna</w:t>
      </w:r>
      <w:r w:rsidRPr="00B60874">
        <w:rPr>
          <w:bCs/>
        </w:rPr>
        <w:t xml:space="preserve"> sukladno </w:t>
      </w:r>
      <w:r>
        <w:rPr>
          <w:bCs/>
        </w:rPr>
        <w:t>članu</w:t>
      </w:r>
      <w:r w:rsidRPr="00B60874">
        <w:rPr>
          <w:bCs/>
        </w:rPr>
        <w:t xml:space="preserve"> 38. </w:t>
      </w:r>
      <w:r>
        <w:rPr>
          <w:bCs/>
        </w:rPr>
        <w:t>stav</w:t>
      </w:r>
      <w:r w:rsidRPr="00B60874">
        <w:rPr>
          <w:bCs/>
        </w:rPr>
        <w:t xml:space="preserve"> (1) Zakona, </w:t>
      </w:r>
      <w:r w:rsidRPr="003336AE">
        <w:t>usluge internet operatera i usluge fiksne i mobilne telefonije nisu srodne usluge.</w:t>
      </w:r>
    </w:p>
    <w:p w14:paraId="3F51A18E" w14:textId="77777777" w:rsidR="003336AE" w:rsidRDefault="003336AE" w:rsidP="003336AE">
      <w:pPr>
        <w:jc w:val="both"/>
        <w:rPr>
          <w:bCs/>
        </w:rPr>
      </w:pPr>
    </w:p>
    <w:p w14:paraId="39AF8F71" w14:textId="77777777" w:rsidR="003336AE" w:rsidRPr="00B60874" w:rsidRDefault="003336AE" w:rsidP="003336AE">
      <w:pPr>
        <w:jc w:val="both"/>
        <w:rPr>
          <w:bCs/>
        </w:rPr>
      </w:pPr>
      <w:r w:rsidRPr="00B60874">
        <w:rPr>
          <w:bCs/>
        </w:rPr>
        <w:t xml:space="preserve">Naime, </w:t>
      </w:r>
      <w:r>
        <w:rPr>
          <w:bCs/>
        </w:rPr>
        <w:t>članom</w:t>
      </w:r>
      <w:r w:rsidRPr="00B60874">
        <w:rPr>
          <w:bCs/>
        </w:rPr>
        <w:t xml:space="preserve"> 2. </w:t>
      </w:r>
      <w:r>
        <w:rPr>
          <w:bCs/>
        </w:rPr>
        <w:t>stav</w:t>
      </w:r>
      <w:r w:rsidRPr="00B60874">
        <w:rPr>
          <w:bCs/>
        </w:rPr>
        <w:t xml:space="preserve"> (2) Odluke o korištenju Jedinstvenog riječnika javne </w:t>
      </w:r>
      <w:r>
        <w:rPr>
          <w:bCs/>
        </w:rPr>
        <w:t>nabavke (</w:t>
      </w:r>
      <w:r w:rsidRPr="00B60874">
        <w:rPr>
          <w:bCs/>
        </w:rPr>
        <w:t xml:space="preserve">"Službeni glasnik BiH", broj 54/15) - u </w:t>
      </w:r>
      <w:r>
        <w:rPr>
          <w:bCs/>
        </w:rPr>
        <w:t>daljem</w:t>
      </w:r>
      <w:r w:rsidRPr="00B60874">
        <w:rPr>
          <w:bCs/>
        </w:rPr>
        <w:t xml:space="preserve"> tekstu: Odluka, propisano je da se brojčana oznaka JRJN sastoji od 8 brojeva, podijeljenih kako slijedi :</w:t>
      </w:r>
    </w:p>
    <w:p w14:paraId="1F1EA723" w14:textId="77777777" w:rsidR="003336AE" w:rsidRPr="00B60874" w:rsidRDefault="003336AE" w:rsidP="003336AE">
      <w:pPr>
        <w:jc w:val="both"/>
        <w:rPr>
          <w:bCs/>
        </w:rPr>
      </w:pPr>
      <w:r w:rsidRPr="00B60874">
        <w:rPr>
          <w:bCs/>
        </w:rPr>
        <w:t>a) prva dva broja označavaju odjeljke (XX000000-Y).</w:t>
      </w:r>
    </w:p>
    <w:p w14:paraId="75FEAF52" w14:textId="77777777" w:rsidR="003336AE" w:rsidRPr="00B60874" w:rsidRDefault="003336AE" w:rsidP="003336AE">
      <w:pPr>
        <w:jc w:val="both"/>
        <w:rPr>
          <w:bCs/>
        </w:rPr>
      </w:pPr>
      <w:r w:rsidRPr="00B60874">
        <w:rPr>
          <w:bCs/>
        </w:rPr>
        <w:t>b) prva tri broja označavaju grupe (XXX00000-Y),</w:t>
      </w:r>
    </w:p>
    <w:p w14:paraId="4698D32D" w14:textId="77777777" w:rsidR="003336AE" w:rsidRPr="00B60874" w:rsidRDefault="003336AE" w:rsidP="003336AE">
      <w:pPr>
        <w:jc w:val="both"/>
        <w:rPr>
          <w:bCs/>
        </w:rPr>
      </w:pPr>
      <w:r w:rsidRPr="00B60874">
        <w:rPr>
          <w:bCs/>
        </w:rPr>
        <w:t>c) prva četiri broja označavaju razreda (XXXX0000-Y),</w:t>
      </w:r>
    </w:p>
    <w:p w14:paraId="6FEA3EE2" w14:textId="77777777" w:rsidR="003336AE" w:rsidRPr="00B60874" w:rsidRDefault="003336AE" w:rsidP="003336AE">
      <w:pPr>
        <w:jc w:val="both"/>
        <w:rPr>
          <w:bCs/>
        </w:rPr>
      </w:pPr>
      <w:r w:rsidRPr="00B60874">
        <w:rPr>
          <w:bCs/>
        </w:rPr>
        <w:t>d) prvih pet brojeva označava kategorije (XXXXX000-Y).</w:t>
      </w:r>
    </w:p>
    <w:p w14:paraId="087B66A1" w14:textId="77777777" w:rsidR="003336AE" w:rsidRPr="00B60874" w:rsidRDefault="003336AE" w:rsidP="003336AE">
      <w:pPr>
        <w:jc w:val="both"/>
        <w:rPr>
          <w:bCs/>
        </w:rPr>
      </w:pPr>
    </w:p>
    <w:p w14:paraId="011CF227" w14:textId="77777777" w:rsidR="003336AE" w:rsidRDefault="003336AE" w:rsidP="003336AE">
      <w:pPr>
        <w:jc w:val="both"/>
        <w:rPr>
          <w:bCs/>
        </w:rPr>
      </w:pPr>
      <w:bookmarkStart w:id="8" w:name="_Hlk168049017"/>
      <w:r w:rsidRPr="00B60874">
        <w:rPr>
          <w:bCs/>
        </w:rPr>
        <w:t xml:space="preserve">U JRJN usluge javne </w:t>
      </w:r>
      <w:r w:rsidRPr="003336AE">
        <w:t xml:space="preserve">telekomunikacije nalaze pod šifrom 64.211.000-8, usluge mobilne telefonije su pod šifrom 64.212.000-5, dok su </w:t>
      </w:r>
      <w:r w:rsidRPr="003336AE">
        <w:rPr>
          <w:i/>
        </w:rPr>
        <w:t>usluge internet operatera pod šifrom 72.410.000-7.</w:t>
      </w:r>
      <w:r w:rsidRPr="003336AE">
        <w:t xml:space="preserve"> Dakle, jasno je da usluge fiksne i mobilne telefonije i usluge internet</w:t>
      </w:r>
      <w:r w:rsidRPr="00B60874">
        <w:rPr>
          <w:bCs/>
        </w:rPr>
        <w:t xml:space="preserve"> operatera nisu iz istog odjeljka što nedvojbeno ukazuje da se ne radi o srodnim uslugama. Samim tim, ne može doći do cijepanje </w:t>
      </w:r>
      <w:r>
        <w:rPr>
          <w:bCs/>
        </w:rPr>
        <w:t>nabavke</w:t>
      </w:r>
      <w:r w:rsidRPr="00B60874">
        <w:rPr>
          <w:bCs/>
        </w:rPr>
        <w:t xml:space="preserve"> u slučaju </w:t>
      </w:r>
      <w:r>
        <w:rPr>
          <w:bCs/>
        </w:rPr>
        <w:t xml:space="preserve">kada ugovorni organ provede različite postupke za nabavku navedenih usluga, budući da se radi, kako je u ranijem tekstu navedeno o uslugama koje nisu srodne. Srodne usluge, u vašem slučaju su usluge fiksne i mobilne telefonije, te iste možete podjeliti na lotove kako je propisano članom 16. Zakona. Odnosno za usluge internet operatera potrebno je provesti drugi postupak, ovisno o procijenjenoj vrijednosti predmetne nabavke. </w:t>
      </w:r>
    </w:p>
    <w:bookmarkEnd w:id="8"/>
    <w:p w14:paraId="7BE73DD9" w14:textId="77777777" w:rsidR="007E01B2" w:rsidRPr="007E01B2" w:rsidRDefault="007E01B2" w:rsidP="007E01B2">
      <w:pPr>
        <w:jc w:val="both"/>
        <w:rPr>
          <w:bCs/>
        </w:rPr>
      </w:pPr>
    </w:p>
    <w:p w14:paraId="159CA0B3" w14:textId="77777777" w:rsidR="00A02A83" w:rsidRDefault="007E01B2" w:rsidP="003336AE">
      <w:pPr>
        <w:pStyle w:val="Heading1"/>
      </w:pPr>
      <w:bookmarkStart w:id="9" w:name="_Toc168432486"/>
      <w:r w:rsidRPr="00AE2653">
        <w:t>Analiza,</w:t>
      </w:r>
      <w:bookmarkEnd w:id="9"/>
      <w:r w:rsidRPr="00AE2653">
        <w:t xml:space="preserve"> </w:t>
      </w:r>
    </w:p>
    <w:p w14:paraId="10082D0E" w14:textId="00068804" w:rsidR="00093153" w:rsidRPr="003336AE" w:rsidRDefault="00795D3B" w:rsidP="003336AE">
      <w:pPr>
        <w:pStyle w:val="Heading1"/>
      </w:pPr>
      <w:bookmarkStart w:id="10" w:name="_Toc168432487"/>
      <w:r>
        <w:t>G</w:t>
      </w:r>
      <w:r w:rsidR="007E01B2" w:rsidRPr="00AE2653">
        <w:t>odišnji izvještaj o zaključenim ugovorima u postupcima javnih nabavki</w:t>
      </w:r>
      <w:bookmarkEnd w:id="10"/>
    </w:p>
    <w:p w14:paraId="718D554A" w14:textId="77777777" w:rsidR="00093153" w:rsidRDefault="00093153" w:rsidP="00093153">
      <w:pPr>
        <w:jc w:val="both"/>
        <w:rPr>
          <w:b/>
        </w:rPr>
      </w:pPr>
    </w:p>
    <w:p w14:paraId="0C82003F" w14:textId="63F4A339" w:rsidR="00093153" w:rsidRPr="00093153" w:rsidRDefault="00093153" w:rsidP="00093153">
      <w:pPr>
        <w:jc w:val="both"/>
        <w:rPr>
          <w:bCs/>
        </w:rPr>
      </w:pPr>
      <w:r w:rsidRPr="00093153">
        <w:rPr>
          <w:bCs/>
        </w:rPr>
        <w:t>Analiza podataka o javnim nabavkama prema vrijednosnim razredima može pružiti uvid u obrazce potrošnje, preferencije dobavljača i potencijalne uštede. Vrijednosni razredi u javnim nabavkama mogu biti korisni za praćenje i analizu tredova u potrošnji javnih sredstava. To je pozitivna praksa kojom se ostavlja mogućnost većem broju subjekata da učestvuju u postupku na pravičan i nediskriminirajući način, a osigurava se i veća transparentnost.</w:t>
      </w:r>
    </w:p>
    <w:p w14:paraId="713B126E" w14:textId="77777777" w:rsidR="00093153" w:rsidRPr="00093153" w:rsidRDefault="00093153" w:rsidP="00093153">
      <w:pPr>
        <w:jc w:val="both"/>
        <w:rPr>
          <w:b/>
        </w:rPr>
      </w:pPr>
    </w:p>
    <w:p w14:paraId="2466219C" w14:textId="07C49712" w:rsidR="007E01B2" w:rsidRPr="007E01B2" w:rsidRDefault="007E01B2" w:rsidP="007E01B2">
      <w:pPr>
        <w:jc w:val="both"/>
        <w:rPr>
          <w:bCs/>
        </w:rPr>
      </w:pPr>
      <w:r w:rsidRPr="007E01B2">
        <w:rPr>
          <w:bCs/>
        </w:rPr>
        <w:t xml:space="preserve">Agencija za javne nabavke BiH je na osnovu člana 92. stava (3) tačka k) Zakona priprema Godišnji izvještaj o zaključenim ugovorima u postupcima javnih nabavki. </w:t>
      </w:r>
      <w:hyperlink r:id="rId11" w:history="1">
        <w:r w:rsidR="006661CD" w:rsidRPr="006661CD">
          <w:rPr>
            <w:rStyle w:val="Hyperlink"/>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https://www.ejn.gov.ba/</w:t>
        </w:r>
      </w:hyperlink>
    </w:p>
    <w:p w14:paraId="7D2417AA" w14:textId="77777777" w:rsidR="007E01B2" w:rsidRPr="007E01B2" w:rsidRDefault="007E01B2" w:rsidP="007E01B2">
      <w:pPr>
        <w:jc w:val="both"/>
        <w:rPr>
          <w:bCs/>
        </w:rPr>
      </w:pPr>
    </w:p>
    <w:p w14:paraId="6CACC539" w14:textId="081EE2F0" w:rsidR="007E01B2" w:rsidRPr="007E01B2" w:rsidRDefault="007E01B2" w:rsidP="007E01B2">
      <w:pPr>
        <w:jc w:val="both"/>
        <w:rPr>
          <w:bCs/>
        </w:rPr>
      </w:pPr>
      <w:r w:rsidRPr="007E01B2">
        <w:rPr>
          <w:bCs/>
        </w:rPr>
        <w:t>Za izradu godišnjeg izvještaja o dodijeljenim ugovorima u postupcima javnih nabavki, Agencija koristi</w:t>
      </w:r>
      <w:r w:rsidR="003336AE">
        <w:rPr>
          <w:bCs/>
        </w:rPr>
        <w:t xml:space="preserve"> </w:t>
      </w:r>
      <w:r w:rsidRPr="007E01B2">
        <w:rPr>
          <w:bCs/>
        </w:rPr>
        <w:t xml:space="preserve">podatke koji su  objavljeni i unešeni u sistem „E-nabavke“ </w:t>
      </w:r>
      <w:r w:rsidR="00D26F94">
        <w:rPr>
          <w:bCs/>
        </w:rPr>
        <w:t>.</w:t>
      </w:r>
    </w:p>
    <w:p w14:paraId="36D152F2" w14:textId="77777777" w:rsidR="00CE6839" w:rsidRDefault="00CE6839" w:rsidP="00CE6839">
      <w:pPr>
        <w:jc w:val="both"/>
        <w:rPr>
          <w:bCs/>
        </w:rPr>
      </w:pPr>
    </w:p>
    <w:p w14:paraId="3D303726" w14:textId="227CDDD8" w:rsidR="00A97226" w:rsidRDefault="00CE6839" w:rsidP="003336AE">
      <w:pPr>
        <w:jc w:val="both"/>
        <w:rPr>
          <w:bCs/>
        </w:rPr>
      </w:pPr>
      <w:r w:rsidRPr="003336AE">
        <w:t>Podatci se mogu izvaditi sa novog</w:t>
      </w:r>
      <w:r w:rsidR="003336AE" w:rsidRPr="003336AE">
        <w:t xml:space="preserve"> </w:t>
      </w:r>
      <w:r w:rsidRPr="003336AE">
        <w:t>javnog dijela koji je dostupan na adresi:</w:t>
      </w:r>
      <w:r w:rsidR="003336AE">
        <w:rPr>
          <w:bCs/>
        </w:rPr>
        <w:t xml:space="preserve"> </w:t>
      </w:r>
      <w:bookmarkStart w:id="11" w:name="_Hlk168259001"/>
      <w:r w:rsidR="006661CD">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006661CD">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HYPERLINK "https://next.ejn.gov.ba/"</w:instrText>
      </w:r>
      <w:r w:rsidR="006661CD">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r>
      <w:r w:rsidR="006661CD">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bookmarkEnd w:id="11"/>
      <w:r w:rsidR="006661CD">
        <w:rPr>
          <w:rStyle w:val="Hyperlink"/>
          <w:bCs/>
        </w:rPr>
        <w:t>https://next.ejn.gov.ba/</w:t>
      </w:r>
      <w:r w:rsidR="006661CD">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22723743" w14:textId="77777777" w:rsidR="00A02A83" w:rsidRDefault="00A02A83" w:rsidP="007E01B2">
      <w:pPr>
        <w:jc w:val="both"/>
        <w:rPr>
          <w:bCs/>
        </w:rPr>
      </w:pPr>
    </w:p>
    <w:p w14:paraId="502F1589" w14:textId="77777777" w:rsidR="00A02A83" w:rsidRDefault="00A02A83" w:rsidP="007E01B2">
      <w:pPr>
        <w:jc w:val="both"/>
        <w:rPr>
          <w:bCs/>
        </w:rPr>
      </w:pPr>
    </w:p>
    <w:p w14:paraId="7E8B62ED" w14:textId="11C1BAFC" w:rsidR="007E01B2" w:rsidRPr="006661CD" w:rsidRDefault="007E01B2" w:rsidP="007E01B2">
      <w:pPr>
        <w:jc w:val="both"/>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61CD">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Grafički prikaz ukupnih vrijednosti dodijeljenih ugovora za period od 2015.-2023.godine:</w:t>
      </w:r>
    </w:p>
    <w:p w14:paraId="1B43D58D" w14:textId="2F116CBA" w:rsidR="00C4357F" w:rsidRDefault="00C4357F" w:rsidP="00C4357F">
      <w:pPr>
        <w:jc w:val="both"/>
        <w:rPr>
          <w:bCs/>
        </w:rPr>
      </w:pPr>
    </w:p>
    <w:p w14:paraId="71EA0E56" w14:textId="033BFFA6" w:rsidR="00581D43" w:rsidRPr="00C4357F" w:rsidRDefault="00581D43" w:rsidP="00C4357F">
      <w:pPr>
        <w:jc w:val="both"/>
        <w:rPr>
          <w:bCs/>
        </w:rPr>
      </w:pPr>
      <w:r>
        <w:rPr>
          <w:bCs/>
          <w:noProof/>
        </w:rPr>
        <w:drawing>
          <wp:inline distT="0" distB="0" distL="0" distR="0" wp14:anchorId="506CE54A" wp14:editId="726AB8AF">
            <wp:extent cx="5919470" cy="3706495"/>
            <wp:effectExtent l="0" t="0" r="5080" b="8255"/>
            <wp:docPr id="1342015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9470" cy="3706495"/>
                    </a:xfrm>
                    <a:prstGeom prst="rect">
                      <a:avLst/>
                    </a:prstGeom>
                    <a:noFill/>
                  </pic:spPr>
                </pic:pic>
              </a:graphicData>
            </a:graphic>
          </wp:inline>
        </w:drawing>
      </w:r>
    </w:p>
    <w:p w14:paraId="4D060277" w14:textId="77777777" w:rsidR="006657D8" w:rsidRDefault="006657D8">
      <w:pPr>
        <w:jc w:val="both"/>
        <w:rPr>
          <w:bCs/>
        </w:rPr>
      </w:pPr>
    </w:p>
    <w:p w14:paraId="3F806AA2" w14:textId="77777777" w:rsidR="005D5046" w:rsidRPr="00C82C3A" w:rsidRDefault="005D5046">
      <w:pPr>
        <w:jc w:val="both"/>
        <w:rPr>
          <w:bCs/>
        </w:rPr>
      </w:pPr>
    </w:p>
    <w:p w14:paraId="7066E698" w14:textId="0224C538" w:rsidR="00C82C3A" w:rsidRPr="00A97226" w:rsidRDefault="00C82C3A" w:rsidP="00A97226">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226">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Analiza postupaka „Poglavlja I“ prema vrsti postupka</w:t>
      </w:r>
    </w:p>
    <w:p w14:paraId="36A93F65" w14:textId="77777777" w:rsidR="00C82C3A" w:rsidRPr="00C82C3A" w:rsidRDefault="00C82C3A" w:rsidP="00C82C3A">
      <w:pPr>
        <w:jc w:val="both"/>
        <w:rPr>
          <w:bCs/>
        </w:rPr>
      </w:pPr>
    </w:p>
    <w:p w14:paraId="15F1C801" w14:textId="77777777" w:rsidR="00C82C3A" w:rsidRPr="00C82C3A" w:rsidRDefault="00C82C3A" w:rsidP="00C82C3A">
      <w:pPr>
        <w:jc w:val="both"/>
        <w:rPr>
          <w:bCs/>
        </w:rPr>
      </w:pPr>
      <w:r w:rsidRPr="00C82C3A">
        <w:rPr>
          <w:bCs/>
        </w:rPr>
        <w:t>Tabelarni i grafički prikaz ukupne vrijednost dodijeljenih ugovora za postupke „Poglavlja I“  u 2023. godini prema vrsti postupka:</w:t>
      </w:r>
    </w:p>
    <w:p w14:paraId="3CAF787F" w14:textId="77777777" w:rsidR="005D5046" w:rsidRDefault="005D5046">
      <w:pPr>
        <w:jc w:val="both"/>
        <w:rPr>
          <w:bCs/>
        </w:rPr>
      </w:pPr>
    </w:p>
    <w:p w14:paraId="4581C531" w14:textId="77777777" w:rsidR="00126CB5" w:rsidRDefault="00126CB5">
      <w:pPr>
        <w:jc w:val="both"/>
        <w:rPr>
          <w:bCs/>
        </w:rPr>
      </w:pPr>
    </w:p>
    <w:tbl>
      <w:tblPr>
        <w:tblStyle w:val="TableGrid"/>
        <w:tblW w:w="9355" w:type="dxa"/>
        <w:tblLayout w:type="fixed"/>
        <w:tblLook w:val="04A0" w:firstRow="1" w:lastRow="0" w:firstColumn="1" w:lastColumn="0" w:noHBand="0" w:noVBand="1"/>
      </w:tblPr>
      <w:tblGrid>
        <w:gridCol w:w="1336"/>
        <w:gridCol w:w="1336"/>
        <w:gridCol w:w="1337"/>
        <w:gridCol w:w="1336"/>
        <w:gridCol w:w="1337"/>
        <w:gridCol w:w="1336"/>
        <w:gridCol w:w="1337"/>
      </w:tblGrid>
      <w:tr w:rsidR="00C82C3A" w:rsidRPr="00C82C3A" w14:paraId="523356EA" w14:textId="77777777" w:rsidTr="00640B7A">
        <w:trPr>
          <w:trHeight w:val="313"/>
        </w:trPr>
        <w:tc>
          <w:tcPr>
            <w:tcW w:w="9355" w:type="dxa"/>
            <w:gridSpan w:val="7"/>
            <w:tcBorders>
              <w:bottom w:val="single" w:sz="4" w:space="0" w:color="auto"/>
            </w:tcBorders>
            <w:shd w:val="clear" w:color="auto" w:fill="95B3D7" w:themeFill="accent1" w:themeFillTint="99"/>
          </w:tcPr>
          <w:p w14:paraId="18821A30" w14:textId="77777777" w:rsidR="00C82C3A" w:rsidRPr="008D51B2" w:rsidRDefault="00C82C3A" w:rsidP="00C82C3A">
            <w:pPr>
              <w:jc w:val="both"/>
              <w:rPr>
                <w:b/>
                <w:bCs/>
                <w:sz w:val="20"/>
                <w:szCs w:val="20"/>
              </w:rPr>
            </w:pPr>
            <w:r w:rsidRPr="008D51B2">
              <w:rPr>
                <w:b/>
                <w:bCs/>
                <w:sz w:val="20"/>
                <w:szCs w:val="20"/>
              </w:rPr>
              <w:t>Ukupna vrijednost dodijeljenih ugovora za postupke „Poglavlja I“  u 2023. godini  prema vrsti postupka</w:t>
            </w:r>
          </w:p>
        </w:tc>
      </w:tr>
      <w:tr w:rsidR="00C82C3A" w:rsidRPr="00C82C3A" w14:paraId="7D9B95BA" w14:textId="77777777" w:rsidTr="008D51B2">
        <w:trPr>
          <w:cantSplit/>
          <w:trHeight w:val="881"/>
        </w:trPr>
        <w:tc>
          <w:tcPr>
            <w:tcW w:w="1336" w:type="dxa"/>
            <w:shd w:val="clear" w:color="auto" w:fill="95B3D7" w:themeFill="accent1" w:themeFillTint="99"/>
            <w:noWrap/>
            <w:hideMark/>
          </w:tcPr>
          <w:p w14:paraId="169A20AF" w14:textId="77777777" w:rsidR="00C82C3A" w:rsidRPr="00A97226" w:rsidRDefault="00C82C3A" w:rsidP="00C82C3A">
            <w:pPr>
              <w:jc w:val="both"/>
              <w:rPr>
                <w:b/>
                <w:bCs/>
              </w:rPr>
            </w:pPr>
            <w:r w:rsidRPr="00A97226">
              <w:rPr>
                <w:b/>
                <w:bCs/>
              </w:rPr>
              <w:t> </w:t>
            </w:r>
          </w:p>
          <w:p w14:paraId="31E48C9A" w14:textId="77777777" w:rsidR="00C82C3A" w:rsidRPr="00A97226" w:rsidRDefault="00C82C3A" w:rsidP="00C82C3A">
            <w:pPr>
              <w:jc w:val="both"/>
              <w:rPr>
                <w:b/>
                <w:bCs/>
              </w:rPr>
            </w:pPr>
          </w:p>
          <w:p w14:paraId="27F2BE2C" w14:textId="77777777" w:rsidR="00C82C3A" w:rsidRPr="00A97226" w:rsidRDefault="00C82C3A" w:rsidP="00C82C3A">
            <w:pPr>
              <w:jc w:val="both"/>
              <w:rPr>
                <w:b/>
                <w:bCs/>
              </w:rPr>
            </w:pPr>
          </w:p>
          <w:p w14:paraId="267669BD" w14:textId="77777777" w:rsidR="00C82C3A" w:rsidRPr="00A97226" w:rsidRDefault="00C82C3A" w:rsidP="00C82C3A">
            <w:pPr>
              <w:jc w:val="both"/>
              <w:rPr>
                <w:b/>
                <w:bCs/>
              </w:rPr>
            </w:pPr>
          </w:p>
          <w:p w14:paraId="27C343A4" w14:textId="77777777" w:rsidR="00C82C3A" w:rsidRPr="00A97226" w:rsidRDefault="00C82C3A" w:rsidP="00C82C3A">
            <w:pPr>
              <w:jc w:val="both"/>
              <w:rPr>
                <w:b/>
                <w:bCs/>
              </w:rPr>
            </w:pPr>
          </w:p>
          <w:p w14:paraId="0906A51A" w14:textId="77777777" w:rsidR="00C82C3A" w:rsidRPr="00A97226" w:rsidRDefault="00C82C3A" w:rsidP="00C82C3A">
            <w:pPr>
              <w:jc w:val="both"/>
              <w:rPr>
                <w:b/>
                <w:bCs/>
              </w:rPr>
            </w:pPr>
          </w:p>
        </w:tc>
        <w:tc>
          <w:tcPr>
            <w:tcW w:w="1336" w:type="dxa"/>
            <w:shd w:val="clear" w:color="auto" w:fill="95B3D7" w:themeFill="accent1" w:themeFillTint="99"/>
            <w:noWrap/>
            <w:textDirection w:val="btLr"/>
            <w:vAlign w:val="center"/>
            <w:hideMark/>
          </w:tcPr>
          <w:p w14:paraId="5EF88499" w14:textId="77777777" w:rsidR="00C82C3A" w:rsidRPr="008D51B2" w:rsidRDefault="00C82C3A" w:rsidP="00C82C3A">
            <w:pPr>
              <w:jc w:val="both"/>
              <w:rPr>
                <w:b/>
                <w:bCs/>
                <w:sz w:val="20"/>
                <w:szCs w:val="20"/>
              </w:rPr>
            </w:pPr>
            <w:r w:rsidRPr="008D51B2">
              <w:rPr>
                <w:b/>
                <w:bCs/>
                <w:sz w:val="20"/>
                <w:szCs w:val="20"/>
              </w:rPr>
              <w:t>Otvoreni postupak</w:t>
            </w:r>
          </w:p>
        </w:tc>
        <w:tc>
          <w:tcPr>
            <w:tcW w:w="1337" w:type="dxa"/>
            <w:shd w:val="clear" w:color="auto" w:fill="95B3D7" w:themeFill="accent1" w:themeFillTint="99"/>
            <w:noWrap/>
            <w:textDirection w:val="btLr"/>
            <w:vAlign w:val="center"/>
            <w:hideMark/>
          </w:tcPr>
          <w:p w14:paraId="7F03DD96" w14:textId="77777777" w:rsidR="00C82C3A" w:rsidRPr="008D51B2" w:rsidRDefault="00C82C3A" w:rsidP="00C82C3A">
            <w:pPr>
              <w:jc w:val="both"/>
              <w:rPr>
                <w:b/>
                <w:bCs/>
                <w:sz w:val="20"/>
                <w:szCs w:val="20"/>
              </w:rPr>
            </w:pPr>
            <w:r w:rsidRPr="008D51B2">
              <w:rPr>
                <w:b/>
                <w:bCs/>
                <w:sz w:val="20"/>
                <w:szCs w:val="20"/>
              </w:rPr>
              <w:t>Ograničeni postupak</w:t>
            </w:r>
          </w:p>
        </w:tc>
        <w:tc>
          <w:tcPr>
            <w:tcW w:w="1336" w:type="dxa"/>
            <w:shd w:val="clear" w:color="auto" w:fill="95B3D7" w:themeFill="accent1" w:themeFillTint="99"/>
            <w:noWrap/>
            <w:textDirection w:val="btLr"/>
            <w:vAlign w:val="center"/>
            <w:hideMark/>
          </w:tcPr>
          <w:p w14:paraId="5258B4EF" w14:textId="77777777" w:rsidR="00C82C3A" w:rsidRPr="008D51B2" w:rsidRDefault="00C82C3A" w:rsidP="00C82C3A">
            <w:pPr>
              <w:jc w:val="both"/>
              <w:rPr>
                <w:b/>
                <w:bCs/>
                <w:sz w:val="20"/>
                <w:szCs w:val="20"/>
              </w:rPr>
            </w:pPr>
            <w:r w:rsidRPr="008D51B2">
              <w:rPr>
                <w:b/>
                <w:bCs/>
                <w:sz w:val="20"/>
                <w:szCs w:val="20"/>
              </w:rPr>
              <w:t>Pregovarački postupak sa objavom obavještenja</w:t>
            </w:r>
          </w:p>
        </w:tc>
        <w:tc>
          <w:tcPr>
            <w:tcW w:w="1337" w:type="dxa"/>
            <w:shd w:val="clear" w:color="auto" w:fill="95B3D7" w:themeFill="accent1" w:themeFillTint="99"/>
            <w:noWrap/>
            <w:textDirection w:val="btLr"/>
            <w:vAlign w:val="center"/>
            <w:hideMark/>
          </w:tcPr>
          <w:p w14:paraId="30220EF7" w14:textId="77777777" w:rsidR="00C82C3A" w:rsidRPr="008D51B2" w:rsidRDefault="00C82C3A" w:rsidP="00C82C3A">
            <w:pPr>
              <w:jc w:val="both"/>
              <w:rPr>
                <w:b/>
                <w:bCs/>
                <w:sz w:val="20"/>
                <w:szCs w:val="20"/>
              </w:rPr>
            </w:pPr>
            <w:r w:rsidRPr="008D51B2">
              <w:rPr>
                <w:b/>
                <w:bCs/>
                <w:sz w:val="20"/>
                <w:szCs w:val="20"/>
              </w:rPr>
              <w:t>Pregovarački postupak bez objave obavještenja</w:t>
            </w:r>
          </w:p>
        </w:tc>
        <w:tc>
          <w:tcPr>
            <w:tcW w:w="1336" w:type="dxa"/>
            <w:shd w:val="clear" w:color="auto" w:fill="95B3D7" w:themeFill="accent1" w:themeFillTint="99"/>
            <w:textDirection w:val="btLr"/>
          </w:tcPr>
          <w:p w14:paraId="25A4E0EA" w14:textId="77777777" w:rsidR="00C82C3A" w:rsidRPr="008D51B2" w:rsidRDefault="00C82C3A" w:rsidP="00C82C3A">
            <w:pPr>
              <w:jc w:val="both"/>
              <w:rPr>
                <w:b/>
                <w:bCs/>
                <w:sz w:val="20"/>
                <w:szCs w:val="20"/>
              </w:rPr>
            </w:pPr>
            <w:r w:rsidRPr="008D51B2">
              <w:rPr>
                <w:b/>
                <w:bCs/>
                <w:sz w:val="20"/>
                <w:szCs w:val="20"/>
              </w:rPr>
              <w:t>Takmičarski dijalog</w:t>
            </w:r>
          </w:p>
        </w:tc>
        <w:tc>
          <w:tcPr>
            <w:tcW w:w="1337" w:type="dxa"/>
            <w:shd w:val="clear" w:color="auto" w:fill="95B3D7" w:themeFill="accent1" w:themeFillTint="99"/>
            <w:textDirection w:val="btLr"/>
            <w:vAlign w:val="center"/>
            <w:hideMark/>
          </w:tcPr>
          <w:p w14:paraId="415539EA" w14:textId="77777777" w:rsidR="00C82C3A" w:rsidRPr="008D51B2" w:rsidRDefault="00C82C3A" w:rsidP="00C82C3A">
            <w:pPr>
              <w:jc w:val="both"/>
              <w:rPr>
                <w:b/>
                <w:bCs/>
                <w:sz w:val="20"/>
                <w:szCs w:val="20"/>
              </w:rPr>
            </w:pPr>
            <w:r w:rsidRPr="008D51B2">
              <w:rPr>
                <w:b/>
                <w:bCs/>
                <w:sz w:val="20"/>
                <w:szCs w:val="20"/>
              </w:rPr>
              <w:t>Ukupno</w:t>
            </w:r>
          </w:p>
        </w:tc>
      </w:tr>
      <w:tr w:rsidR="00C82C3A" w:rsidRPr="00C82C3A" w14:paraId="7F846FE7" w14:textId="77777777" w:rsidTr="00640B7A">
        <w:trPr>
          <w:trHeight w:val="269"/>
        </w:trPr>
        <w:tc>
          <w:tcPr>
            <w:tcW w:w="1336" w:type="dxa"/>
            <w:shd w:val="clear" w:color="auto" w:fill="auto"/>
            <w:noWrap/>
            <w:hideMark/>
          </w:tcPr>
          <w:p w14:paraId="54CC0AF6" w14:textId="77777777" w:rsidR="00C82C3A" w:rsidRPr="00A02A83" w:rsidRDefault="00C82C3A" w:rsidP="00C82C3A">
            <w:pPr>
              <w:jc w:val="both"/>
              <w:rPr>
                <w:bCs/>
                <w:sz w:val="16"/>
                <w:szCs w:val="16"/>
              </w:rPr>
            </w:pPr>
          </w:p>
          <w:p w14:paraId="32CD6C17" w14:textId="77777777" w:rsidR="00C82C3A" w:rsidRPr="00A02A83" w:rsidRDefault="00C82C3A" w:rsidP="00C82C3A">
            <w:pPr>
              <w:jc w:val="both"/>
              <w:rPr>
                <w:bCs/>
                <w:sz w:val="16"/>
                <w:szCs w:val="16"/>
              </w:rPr>
            </w:pPr>
            <w:r w:rsidRPr="00A02A83">
              <w:rPr>
                <w:bCs/>
                <w:sz w:val="16"/>
                <w:szCs w:val="16"/>
              </w:rPr>
              <w:t>КМ</w:t>
            </w:r>
          </w:p>
        </w:tc>
        <w:tc>
          <w:tcPr>
            <w:tcW w:w="1336" w:type="dxa"/>
            <w:tcBorders>
              <w:top w:val="nil"/>
              <w:left w:val="nil"/>
              <w:bottom w:val="single" w:sz="8" w:space="0" w:color="auto"/>
              <w:right w:val="single" w:sz="8" w:space="0" w:color="auto"/>
            </w:tcBorders>
            <w:shd w:val="clear" w:color="auto" w:fill="auto"/>
            <w:noWrap/>
            <w:vAlign w:val="center"/>
          </w:tcPr>
          <w:p w14:paraId="0DB87757" w14:textId="77777777" w:rsidR="00C82C3A" w:rsidRPr="00A02A83" w:rsidRDefault="00C82C3A" w:rsidP="00C82C3A">
            <w:pPr>
              <w:jc w:val="both"/>
              <w:rPr>
                <w:b/>
                <w:bCs/>
                <w:sz w:val="16"/>
                <w:szCs w:val="16"/>
                <w:lang w:val="en-US"/>
              </w:rPr>
            </w:pPr>
          </w:p>
          <w:p w14:paraId="78C6F4EE" w14:textId="77777777" w:rsidR="00C82C3A" w:rsidRPr="00A02A83" w:rsidRDefault="00C82C3A" w:rsidP="00C82C3A">
            <w:pPr>
              <w:jc w:val="both"/>
              <w:rPr>
                <w:b/>
                <w:bCs/>
                <w:sz w:val="16"/>
                <w:szCs w:val="16"/>
              </w:rPr>
            </w:pPr>
            <w:r w:rsidRPr="00A02A83">
              <w:rPr>
                <w:b/>
                <w:bCs/>
                <w:sz w:val="16"/>
                <w:szCs w:val="16"/>
                <w:lang w:val="en-US"/>
              </w:rPr>
              <w:t>3.010.685.272,10</w:t>
            </w:r>
          </w:p>
        </w:tc>
        <w:tc>
          <w:tcPr>
            <w:tcW w:w="1337" w:type="dxa"/>
            <w:tcBorders>
              <w:top w:val="nil"/>
              <w:left w:val="nil"/>
              <w:bottom w:val="single" w:sz="8" w:space="0" w:color="auto"/>
              <w:right w:val="single" w:sz="8" w:space="0" w:color="auto"/>
            </w:tcBorders>
            <w:shd w:val="clear" w:color="auto" w:fill="auto"/>
            <w:noWrap/>
            <w:vAlign w:val="center"/>
          </w:tcPr>
          <w:p w14:paraId="03AF54BD" w14:textId="77777777" w:rsidR="00C82C3A" w:rsidRPr="00A02A83" w:rsidRDefault="00C82C3A" w:rsidP="00C82C3A">
            <w:pPr>
              <w:jc w:val="both"/>
              <w:rPr>
                <w:b/>
                <w:bCs/>
                <w:sz w:val="16"/>
                <w:szCs w:val="16"/>
                <w:lang w:val="en-US"/>
              </w:rPr>
            </w:pPr>
          </w:p>
          <w:p w14:paraId="785276F3" w14:textId="77777777" w:rsidR="00C82C3A" w:rsidRPr="00A02A83" w:rsidRDefault="00C82C3A" w:rsidP="00C82C3A">
            <w:pPr>
              <w:jc w:val="both"/>
              <w:rPr>
                <w:b/>
                <w:bCs/>
                <w:sz w:val="16"/>
                <w:szCs w:val="16"/>
              </w:rPr>
            </w:pPr>
            <w:r w:rsidRPr="00A02A83">
              <w:rPr>
                <w:b/>
                <w:bCs/>
                <w:sz w:val="16"/>
                <w:szCs w:val="16"/>
                <w:lang w:val="en-US"/>
              </w:rPr>
              <w:t>111.990.252,26</w:t>
            </w:r>
          </w:p>
        </w:tc>
        <w:tc>
          <w:tcPr>
            <w:tcW w:w="1336" w:type="dxa"/>
            <w:tcBorders>
              <w:top w:val="nil"/>
              <w:left w:val="nil"/>
              <w:bottom w:val="single" w:sz="8" w:space="0" w:color="auto"/>
              <w:right w:val="single" w:sz="8" w:space="0" w:color="auto"/>
            </w:tcBorders>
            <w:shd w:val="clear" w:color="auto" w:fill="auto"/>
            <w:noWrap/>
            <w:vAlign w:val="center"/>
          </w:tcPr>
          <w:p w14:paraId="0EAA537F" w14:textId="77777777" w:rsidR="00C82C3A" w:rsidRPr="00A02A83" w:rsidRDefault="00C82C3A" w:rsidP="00C82C3A">
            <w:pPr>
              <w:jc w:val="both"/>
              <w:rPr>
                <w:b/>
                <w:bCs/>
                <w:sz w:val="16"/>
                <w:szCs w:val="16"/>
              </w:rPr>
            </w:pPr>
          </w:p>
          <w:p w14:paraId="3751F57F" w14:textId="77777777" w:rsidR="00C82C3A" w:rsidRPr="00A02A83" w:rsidRDefault="00C82C3A" w:rsidP="00C82C3A">
            <w:pPr>
              <w:jc w:val="both"/>
              <w:rPr>
                <w:b/>
                <w:bCs/>
                <w:sz w:val="16"/>
                <w:szCs w:val="16"/>
              </w:rPr>
            </w:pPr>
            <w:r w:rsidRPr="00A02A83">
              <w:rPr>
                <w:b/>
                <w:bCs/>
                <w:sz w:val="16"/>
                <w:szCs w:val="16"/>
              </w:rPr>
              <w:t>150.577.094,16</w:t>
            </w:r>
          </w:p>
        </w:tc>
        <w:tc>
          <w:tcPr>
            <w:tcW w:w="1337" w:type="dxa"/>
            <w:tcBorders>
              <w:top w:val="nil"/>
              <w:left w:val="nil"/>
              <w:bottom w:val="single" w:sz="8" w:space="0" w:color="auto"/>
              <w:right w:val="single" w:sz="8" w:space="0" w:color="auto"/>
            </w:tcBorders>
            <w:shd w:val="clear" w:color="auto" w:fill="auto"/>
            <w:noWrap/>
            <w:vAlign w:val="center"/>
          </w:tcPr>
          <w:p w14:paraId="5E43D21E" w14:textId="77777777" w:rsidR="00C82C3A" w:rsidRPr="00A02A83" w:rsidRDefault="00C82C3A" w:rsidP="00C82C3A">
            <w:pPr>
              <w:jc w:val="both"/>
              <w:rPr>
                <w:b/>
                <w:bCs/>
                <w:sz w:val="16"/>
                <w:szCs w:val="16"/>
              </w:rPr>
            </w:pPr>
          </w:p>
          <w:p w14:paraId="6AE09F97" w14:textId="77777777" w:rsidR="00C82C3A" w:rsidRPr="00A02A83" w:rsidRDefault="00C82C3A" w:rsidP="00C82C3A">
            <w:pPr>
              <w:jc w:val="both"/>
              <w:rPr>
                <w:b/>
                <w:bCs/>
                <w:sz w:val="16"/>
                <w:szCs w:val="16"/>
              </w:rPr>
            </w:pPr>
            <w:r w:rsidRPr="00A02A83">
              <w:rPr>
                <w:b/>
                <w:bCs/>
                <w:sz w:val="16"/>
                <w:szCs w:val="16"/>
              </w:rPr>
              <w:t>306.440.397,12</w:t>
            </w:r>
          </w:p>
        </w:tc>
        <w:tc>
          <w:tcPr>
            <w:tcW w:w="1336" w:type="dxa"/>
            <w:tcBorders>
              <w:top w:val="nil"/>
              <w:left w:val="nil"/>
              <w:bottom w:val="single" w:sz="8" w:space="0" w:color="auto"/>
              <w:right w:val="single" w:sz="4" w:space="0" w:color="auto"/>
            </w:tcBorders>
            <w:shd w:val="clear" w:color="auto" w:fill="auto"/>
          </w:tcPr>
          <w:p w14:paraId="465743C3" w14:textId="77777777" w:rsidR="00C82C3A" w:rsidRPr="00A02A83" w:rsidRDefault="00C82C3A" w:rsidP="00C82C3A">
            <w:pPr>
              <w:jc w:val="both"/>
              <w:rPr>
                <w:b/>
                <w:bCs/>
                <w:sz w:val="16"/>
                <w:szCs w:val="16"/>
              </w:rPr>
            </w:pPr>
          </w:p>
          <w:p w14:paraId="1CCF7CDD" w14:textId="77777777" w:rsidR="00C82C3A" w:rsidRPr="00A02A83" w:rsidRDefault="00C82C3A" w:rsidP="00C82C3A">
            <w:pPr>
              <w:jc w:val="both"/>
              <w:rPr>
                <w:b/>
                <w:bCs/>
                <w:sz w:val="16"/>
                <w:szCs w:val="16"/>
                <w:lang w:val="en-US"/>
              </w:rPr>
            </w:pPr>
            <w:r w:rsidRPr="00A02A83">
              <w:rPr>
                <w:b/>
                <w:bCs/>
                <w:sz w:val="16"/>
                <w:szCs w:val="16"/>
              </w:rPr>
              <w:t>435.825.657,00</w:t>
            </w:r>
          </w:p>
        </w:tc>
        <w:tc>
          <w:tcPr>
            <w:tcW w:w="1337" w:type="dxa"/>
            <w:tcBorders>
              <w:top w:val="nil"/>
              <w:left w:val="single" w:sz="4" w:space="0" w:color="auto"/>
              <w:bottom w:val="single" w:sz="8" w:space="0" w:color="auto"/>
              <w:right w:val="single" w:sz="4" w:space="0" w:color="auto"/>
            </w:tcBorders>
            <w:shd w:val="clear" w:color="auto" w:fill="auto"/>
            <w:vAlign w:val="center"/>
          </w:tcPr>
          <w:p w14:paraId="5EF5E8C6" w14:textId="77777777" w:rsidR="00C82C3A" w:rsidRPr="00A02A83" w:rsidRDefault="00C82C3A" w:rsidP="00C82C3A">
            <w:pPr>
              <w:jc w:val="both"/>
              <w:rPr>
                <w:b/>
                <w:bCs/>
                <w:sz w:val="16"/>
                <w:szCs w:val="16"/>
              </w:rPr>
            </w:pPr>
          </w:p>
          <w:p w14:paraId="1AEFE081" w14:textId="77777777" w:rsidR="00C82C3A" w:rsidRPr="00A02A83" w:rsidRDefault="00C82C3A" w:rsidP="00C82C3A">
            <w:pPr>
              <w:jc w:val="both"/>
              <w:rPr>
                <w:b/>
                <w:bCs/>
                <w:sz w:val="16"/>
                <w:szCs w:val="16"/>
              </w:rPr>
            </w:pPr>
            <w:r w:rsidRPr="00A02A83">
              <w:rPr>
                <w:b/>
                <w:bCs/>
                <w:sz w:val="16"/>
                <w:szCs w:val="16"/>
              </w:rPr>
              <w:t>4.015.518.672,64</w:t>
            </w:r>
          </w:p>
        </w:tc>
      </w:tr>
      <w:tr w:rsidR="00C82C3A" w:rsidRPr="00C82C3A" w14:paraId="3F5434E0" w14:textId="77777777" w:rsidTr="00640B7A">
        <w:trPr>
          <w:trHeight w:val="144"/>
        </w:trPr>
        <w:tc>
          <w:tcPr>
            <w:tcW w:w="1336" w:type="dxa"/>
            <w:shd w:val="clear" w:color="auto" w:fill="auto"/>
            <w:noWrap/>
          </w:tcPr>
          <w:p w14:paraId="16C5F638" w14:textId="77777777" w:rsidR="00C82C3A" w:rsidRPr="00A02A83" w:rsidRDefault="00C82C3A" w:rsidP="00C82C3A">
            <w:pPr>
              <w:jc w:val="both"/>
              <w:rPr>
                <w:b/>
                <w:bCs/>
                <w:sz w:val="16"/>
                <w:szCs w:val="16"/>
              </w:rPr>
            </w:pPr>
            <w:r w:rsidRPr="00A02A83">
              <w:rPr>
                <w:b/>
                <w:bCs/>
                <w:sz w:val="16"/>
                <w:szCs w:val="16"/>
              </w:rPr>
              <w:t>%</w:t>
            </w:r>
          </w:p>
        </w:tc>
        <w:tc>
          <w:tcPr>
            <w:tcW w:w="1336" w:type="dxa"/>
            <w:tcBorders>
              <w:top w:val="nil"/>
              <w:left w:val="nil"/>
              <w:bottom w:val="single" w:sz="8" w:space="0" w:color="auto"/>
              <w:right w:val="single" w:sz="8" w:space="0" w:color="auto"/>
            </w:tcBorders>
            <w:shd w:val="clear" w:color="auto" w:fill="auto"/>
            <w:noWrap/>
            <w:vAlign w:val="center"/>
          </w:tcPr>
          <w:p w14:paraId="43837B37" w14:textId="77777777" w:rsidR="00C82C3A" w:rsidRPr="00A02A83" w:rsidRDefault="00C82C3A" w:rsidP="00C82C3A">
            <w:pPr>
              <w:jc w:val="both"/>
              <w:rPr>
                <w:b/>
                <w:bCs/>
                <w:sz w:val="16"/>
                <w:szCs w:val="16"/>
              </w:rPr>
            </w:pPr>
            <w:r w:rsidRPr="00A02A83">
              <w:rPr>
                <w:b/>
                <w:bCs/>
                <w:sz w:val="16"/>
                <w:szCs w:val="16"/>
              </w:rPr>
              <w:t>74.98</w:t>
            </w:r>
          </w:p>
        </w:tc>
        <w:tc>
          <w:tcPr>
            <w:tcW w:w="1337" w:type="dxa"/>
            <w:tcBorders>
              <w:top w:val="nil"/>
              <w:left w:val="nil"/>
              <w:bottom w:val="single" w:sz="8" w:space="0" w:color="auto"/>
              <w:right w:val="single" w:sz="8" w:space="0" w:color="auto"/>
            </w:tcBorders>
            <w:shd w:val="clear" w:color="auto" w:fill="auto"/>
            <w:noWrap/>
            <w:vAlign w:val="center"/>
          </w:tcPr>
          <w:p w14:paraId="261AC1A7" w14:textId="77777777" w:rsidR="00C82C3A" w:rsidRPr="00A02A83" w:rsidRDefault="00C82C3A" w:rsidP="00C82C3A">
            <w:pPr>
              <w:jc w:val="both"/>
              <w:rPr>
                <w:b/>
                <w:bCs/>
                <w:sz w:val="16"/>
                <w:szCs w:val="16"/>
              </w:rPr>
            </w:pPr>
            <w:r w:rsidRPr="00A02A83">
              <w:rPr>
                <w:b/>
                <w:bCs/>
                <w:sz w:val="16"/>
                <w:szCs w:val="16"/>
              </w:rPr>
              <w:t>2.79</w:t>
            </w:r>
          </w:p>
        </w:tc>
        <w:tc>
          <w:tcPr>
            <w:tcW w:w="1336" w:type="dxa"/>
            <w:tcBorders>
              <w:top w:val="nil"/>
              <w:left w:val="nil"/>
              <w:bottom w:val="single" w:sz="8" w:space="0" w:color="auto"/>
              <w:right w:val="single" w:sz="8" w:space="0" w:color="auto"/>
            </w:tcBorders>
            <w:shd w:val="clear" w:color="auto" w:fill="auto"/>
            <w:noWrap/>
            <w:vAlign w:val="center"/>
          </w:tcPr>
          <w:p w14:paraId="6B83E0E2" w14:textId="77777777" w:rsidR="00C82C3A" w:rsidRPr="00A02A83" w:rsidRDefault="00C82C3A" w:rsidP="00C82C3A">
            <w:pPr>
              <w:jc w:val="both"/>
              <w:rPr>
                <w:b/>
                <w:bCs/>
                <w:sz w:val="16"/>
                <w:szCs w:val="16"/>
              </w:rPr>
            </w:pPr>
            <w:r w:rsidRPr="00A02A83">
              <w:rPr>
                <w:b/>
                <w:bCs/>
                <w:sz w:val="16"/>
                <w:szCs w:val="16"/>
              </w:rPr>
              <w:t>3.75</w:t>
            </w:r>
          </w:p>
        </w:tc>
        <w:tc>
          <w:tcPr>
            <w:tcW w:w="1337" w:type="dxa"/>
            <w:tcBorders>
              <w:top w:val="nil"/>
              <w:left w:val="nil"/>
              <w:bottom w:val="single" w:sz="8" w:space="0" w:color="auto"/>
              <w:right w:val="single" w:sz="8" w:space="0" w:color="auto"/>
            </w:tcBorders>
            <w:shd w:val="clear" w:color="auto" w:fill="auto"/>
            <w:noWrap/>
            <w:vAlign w:val="center"/>
          </w:tcPr>
          <w:p w14:paraId="3D57274D" w14:textId="77777777" w:rsidR="00C82C3A" w:rsidRPr="00A02A83" w:rsidRDefault="00C82C3A" w:rsidP="00C82C3A">
            <w:pPr>
              <w:jc w:val="both"/>
              <w:rPr>
                <w:b/>
                <w:bCs/>
                <w:sz w:val="16"/>
                <w:szCs w:val="16"/>
              </w:rPr>
            </w:pPr>
            <w:r w:rsidRPr="00A02A83">
              <w:rPr>
                <w:b/>
                <w:bCs/>
                <w:sz w:val="16"/>
                <w:szCs w:val="16"/>
              </w:rPr>
              <w:t>7.63</w:t>
            </w:r>
          </w:p>
        </w:tc>
        <w:tc>
          <w:tcPr>
            <w:tcW w:w="1336" w:type="dxa"/>
            <w:tcBorders>
              <w:top w:val="nil"/>
              <w:left w:val="nil"/>
              <w:bottom w:val="single" w:sz="8" w:space="0" w:color="auto"/>
              <w:right w:val="single" w:sz="4" w:space="0" w:color="auto"/>
            </w:tcBorders>
            <w:shd w:val="clear" w:color="auto" w:fill="auto"/>
          </w:tcPr>
          <w:p w14:paraId="538B8FB6" w14:textId="77777777" w:rsidR="00C82C3A" w:rsidRPr="00A02A83" w:rsidRDefault="00C82C3A" w:rsidP="00C82C3A">
            <w:pPr>
              <w:jc w:val="both"/>
              <w:rPr>
                <w:b/>
                <w:bCs/>
                <w:sz w:val="16"/>
                <w:szCs w:val="16"/>
              </w:rPr>
            </w:pPr>
            <w:r w:rsidRPr="00A02A83">
              <w:rPr>
                <w:b/>
                <w:bCs/>
                <w:sz w:val="16"/>
                <w:szCs w:val="16"/>
              </w:rPr>
              <w:t>10.85</w:t>
            </w:r>
          </w:p>
        </w:tc>
        <w:tc>
          <w:tcPr>
            <w:tcW w:w="1337" w:type="dxa"/>
            <w:tcBorders>
              <w:top w:val="nil"/>
              <w:left w:val="single" w:sz="4" w:space="0" w:color="auto"/>
              <w:bottom w:val="single" w:sz="8" w:space="0" w:color="auto"/>
              <w:right w:val="single" w:sz="4" w:space="0" w:color="auto"/>
            </w:tcBorders>
            <w:shd w:val="clear" w:color="auto" w:fill="auto"/>
            <w:vAlign w:val="center"/>
          </w:tcPr>
          <w:p w14:paraId="2C1511AF" w14:textId="77777777" w:rsidR="00C82C3A" w:rsidRPr="00A02A83" w:rsidRDefault="00C82C3A" w:rsidP="00C82C3A">
            <w:pPr>
              <w:jc w:val="both"/>
              <w:rPr>
                <w:b/>
                <w:bCs/>
                <w:sz w:val="16"/>
                <w:szCs w:val="16"/>
              </w:rPr>
            </w:pPr>
            <w:r w:rsidRPr="00A02A83">
              <w:rPr>
                <w:b/>
                <w:bCs/>
                <w:sz w:val="16"/>
                <w:szCs w:val="16"/>
              </w:rPr>
              <w:t>100.00</w:t>
            </w:r>
          </w:p>
        </w:tc>
      </w:tr>
    </w:tbl>
    <w:p w14:paraId="7EC425D7" w14:textId="77777777" w:rsidR="00465B5D" w:rsidRPr="00465B5D" w:rsidRDefault="00465B5D">
      <w:pPr>
        <w:jc w:val="both"/>
        <w:rPr>
          <w:bCs/>
        </w:rPr>
      </w:pPr>
    </w:p>
    <w:p w14:paraId="32809228" w14:textId="77777777" w:rsidR="00465B5D" w:rsidRDefault="00465B5D">
      <w:pPr>
        <w:jc w:val="both"/>
        <w:rPr>
          <w:bCs/>
        </w:rPr>
      </w:pPr>
    </w:p>
    <w:p w14:paraId="6A2DAD21" w14:textId="7407B43F" w:rsidR="00465B5D" w:rsidRDefault="00C82C3A">
      <w:pPr>
        <w:jc w:val="both"/>
        <w:rPr>
          <w:bCs/>
        </w:rPr>
      </w:pPr>
      <w:r>
        <w:rPr>
          <w:noProof/>
          <w14:ligatures w14:val="standardContextual"/>
        </w:rPr>
        <w:lastRenderedPageBreak/>
        <w:drawing>
          <wp:inline distT="0" distB="0" distL="0" distR="0" wp14:anchorId="669AC13B" wp14:editId="3B805F90">
            <wp:extent cx="5857875" cy="2956560"/>
            <wp:effectExtent l="0" t="0" r="9525" b="15240"/>
            <wp:docPr id="1405042221" name="Chart 1">
              <a:extLst xmlns:a="http://schemas.openxmlformats.org/drawingml/2006/main">
                <a:ext uri="{FF2B5EF4-FFF2-40B4-BE49-F238E27FC236}">
                  <a16:creationId xmlns:a16="http://schemas.microsoft.com/office/drawing/2014/main" id="{B0360103-8161-341B-6446-299D17C28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9D1C34" w14:textId="77777777" w:rsidR="00465B5D" w:rsidRDefault="00465B5D">
      <w:pPr>
        <w:jc w:val="both"/>
        <w:rPr>
          <w:bCs/>
        </w:rPr>
      </w:pPr>
    </w:p>
    <w:p w14:paraId="55CDEA31" w14:textId="77777777" w:rsidR="00465B5D" w:rsidRPr="00C82C3A" w:rsidRDefault="00465B5D">
      <w:pPr>
        <w:jc w:val="both"/>
        <w:rPr>
          <w:b/>
        </w:rPr>
      </w:pPr>
    </w:p>
    <w:p w14:paraId="48041E53" w14:textId="05F030F4" w:rsidR="00C82C3A" w:rsidRPr="006661CD" w:rsidRDefault="00C82C3A" w:rsidP="006661CD">
      <w:pPr>
        <w:jc w:val="both"/>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61CD">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Analiza postupaka „Poglavlja V“ prema vrsti postupka</w:t>
      </w:r>
    </w:p>
    <w:p w14:paraId="610C2B58" w14:textId="77777777" w:rsidR="00C82C3A" w:rsidRPr="00C82C3A" w:rsidRDefault="00C82C3A" w:rsidP="00C82C3A">
      <w:pPr>
        <w:jc w:val="both"/>
        <w:rPr>
          <w:bCs/>
          <w:i/>
          <w:iCs/>
        </w:rPr>
      </w:pPr>
    </w:p>
    <w:p w14:paraId="2AE7BCF7" w14:textId="77777777" w:rsidR="00C82C3A" w:rsidRPr="00C82C3A" w:rsidRDefault="00C82C3A" w:rsidP="00C82C3A">
      <w:pPr>
        <w:jc w:val="both"/>
        <w:rPr>
          <w:bCs/>
        </w:rPr>
      </w:pPr>
      <w:r w:rsidRPr="00C82C3A">
        <w:rPr>
          <w:bCs/>
        </w:rPr>
        <w:t>Tabelarni i grafički prikaz ukupne vrijednost dodijeljenih ugovora za postupke „Poglavlja V“  u 2023. godini prema vrsti postupka:</w:t>
      </w:r>
    </w:p>
    <w:p w14:paraId="17491C16" w14:textId="77777777" w:rsidR="00C82C3A" w:rsidRPr="00C82C3A" w:rsidRDefault="00C82C3A" w:rsidP="00C82C3A">
      <w:pPr>
        <w:jc w:val="both"/>
        <w:rPr>
          <w:bCs/>
        </w:rPr>
      </w:pPr>
    </w:p>
    <w:p w14:paraId="6BF92332" w14:textId="595542F3" w:rsidR="00465B5D" w:rsidRDefault="00C82C3A">
      <w:pPr>
        <w:jc w:val="both"/>
        <w:rPr>
          <w:bCs/>
        </w:rPr>
      </w:pPr>
      <w:r>
        <w:rPr>
          <w:bCs/>
          <w:noProof/>
        </w:rPr>
        <w:drawing>
          <wp:inline distT="0" distB="0" distL="0" distR="0" wp14:anchorId="16072EA3" wp14:editId="0F669A44">
            <wp:extent cx="5968365" cy="2554605"/>
            <wp:effectExtent l="0" t="0" r="0" b="0"/>
            <wp:docPr id="7791337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8365" cy="2554605"/>
                    </a:xfrm>
                    <a:prstGeom prst="rect">
                      <a:avLst/>
                    </a:prstGeom>
                    <a:noFill/>
                  </pic:spPr>
                </pic:pic>
              </a:graphicData>
            </a:graphic>
          </wp:inline>
        </w:drawing>
      </w:r>
    </w:p>
    <w:p w14:paraId="2403E52B" w14:textId="77777777" w:rsidR="00C82C3A" w:rsidRDefault="00C82C3A">
      <w:pPr>
        <w:jc w:val="both"/>
        <w:rPr>
          <w:bCs/>
        </w:rPr>
      </w:pPr>
    </w:p>
    <w:p w14:paraId="72E4342D" w14:textId="77777777" w:rsidR="00C82C3A" w:rsidRDefault="00C82C3A">
      <w:pPr>
        <w:jc w:val="both"/>
        <w:rPr>
          <w:bCs/>
        </w:rPr>
      </w:pPr>
    </w:p>
    <w:p w14:paraId="5860EC02" w14:textId="2A577009" w:rsidR="00C82C3A" w:rsidRDefault="00C82C3A">
      <w:pPr>
        <w:jc w:val="both"/>
        <w:rPr>
          <w:bCs/>
        </w:rPr>
      </w:pPr>
      <w:r w:rsidRPr="00C82C3A">
        <w:rPr>
          <w:noProof/>
          <w:lang w:eastAsia="bs-Latn-BA"/>
        </w:rPr>
        <w:drawing>
          <wp:inline distT="0" distB="0" distL="0" distR="0" wp14:anchorId="7771D3D2" wp14:editId="5B2FB143">
            <wp:extent cx="6010275" cy="1320165"/>
            <wp:effectExtent l="0" t="0" r="9525" b="0"/>
            <wp:docPr id="18388697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0275" cy="1320165"/>
                    </a:xfrm>
                    <a:prstGeom prst="rect">
                      <a:avLst/>
                    </a:prstGeom>
                    <a:noFill/>
                    <a:ln>
                      <a:noFill/>
                    </a:ln>
                  </pic:spPr>
                </pic:pic>
              </a:graphicData>
            </a:graphic>
          </wp:inline>
        </w:drawing>
      </w:r>
    </w:p>
    <w:p w14:paraId="0004CEE5" w14:textId="77777777" w:rsidR="005A4136" w:rsidRDefault="005A4136">
      <w:pPr>
        <w:jc w:val="both"/>
        <w:rPr>
          <w:bCs/>
        </w:rPr>
      </w:pPr>
    </w:p>
    <w:p w14:paraId="4413ED9D" w14:textId="297FB7C0" w:rsidR="005A4136" w:rsidRDefault="003F62B1" w:rsidP="00AE2653">
      <w:pPr>
        <w:pStyle w:val="Heading1"/>
        <w:rPr>
          <w:bCs/>
        </w:rPr>
      </w:pPr>
      <w:bookmarkStart w:id="12" w:name="_Toc168432488"/>
      <w:r w:rsidRPr="00C53CAC">
        <w:lastRenderedPageBreak/>
        <w:t xml:space="preserve">Zanimljivi </w:t>
      </w:r>
      <w:r w:rsidR="005A4136" w:rsidRPr="00C53CAC">
        <w:t xml:space="preserve"> podaci o javnim nabavkama</w:t>
      </w:r>
      <w:bookmarkEnd w:id="12"/>
      <w:r w:rsidR="005A4136" w:rsidRPr="00C53CAC">
        <w:rPr>
          <w:bCs/>
        </w:rPr>
        <w:t xml:space="preserve"> </w:t>
      </w:r>
    </w:p>
    <w:p w14:paraId="61283817" w14:textId="77777777" w:rsidR="005A4136" w:rsidRDefault="005A4136" w:rsidP="005A4136">
      <w:pPr>
        <w:jc w:val="both"/>
        <w:rPr>
          <w:bCs/>
        </w:rPr>
      </w:pPr>
    </w:p>
    <w:p w14:paraId="5C4AB60B" w14:textId="3809391D" w:rsidR="005A4136" w:rsidRDefault="005A4136" w:rsidP="005A4136">
      <w:pPr>
        <w:jc w:val="both"/>
        <w:rPr>
          <w:bCs/>
        </w:rPr>
      </w:pPr>
      <w:r w:rsidRPr="005A4136">
        <w:rPr>
          <w:bCs/>
        </w:rPr>
        <w:t>1. Globalne nabavke se procjenjuju na 13 triliona godišnje</w:t>
      </w:r>
      <w:r>
        <w:rPr>
          <w:bCs/>
        </w:rPr>
        <w:t xml:space="preserve">. </w:t>
      </w:r>
      <w:r w:rsidRPr="005A4136">
        <w:rPr>
          <w:bCs/>
        </w:rPr>
        <w:t>Prema Spend Network-u, državne nabavke predstavljaju značajno tržište za međunarodno poslovanje. Globalne nabavke se procjenjuju na 13triliona godišnje, što ne čudi s obzirom na ulogu javnih nabavki. U BiH vrijednost javnih nabavki bez PDV u 2023.godini iznosi 5.060.132.125,61 KM.</w:t>
      </w:r>
    </w:p>
    <w:p w14:paraId="53249F07" w14:textId="77777777" w:rsidR="005A4136" w:rsidRPr="005A4136" w:rsidRDefault="005A4136" w:rsidP="005A4136">
      <w:pPr>
        <w:jc w:val="both"/>
        <w:rPr>
          <w:bCs/>
        </w:rPr>
      </w:pPr>
    </w:p>
    <w:p w14:paraId="0199722A" w14:textId="33CE039B" w:rsidR="005A4136" w:rsidRDefault="005A4136" w:rsidP="005A4136">
      <w:pPr>
        <w:jc w:val="both"/>
        <w:rPr>
          <w:bCs/>
        </w:rPr>
      </w:pPr>
      <w:r w:rsidRPr="005A4136">
        <w:rPr>
          <w:bCs/>
        </w:rPr>
        <w:t>2. Ukupno gledajući, javne nabavke predstavljaju u prosjeku 10%-15% globalnog BDP-a</w:t>
      </w:r>
      <w:r>
        <w:rPr>
          <w:bCs/>
        </w:rPr>
        <w:t xml:space="preserve">. </w:t>
      </w:r>
      <w:r w:rsidRPr="005A4136">
        <w:rPr>
          <w:bCs/>
        </w:rPr>
        <w:t>Javne ili vladine nabavke imaju značajnu moć da utiču na širi ekonomski pejzaž. Ovo nije iznenađenje s obzirom na to da javne nabavke predstavljaju u prosjeku 10%-15% bruto domaćeg proizvoda (BDP) u zemljama širom svijeta, prema izvješću Webinarcare. U BiH taj iznos je 10.31 % BDP.</w:t>
      </w:r>
    </w:p>
    <w:p w14:paraId="74A60149" w14:textId="77777777" w:rsidR="005A4136" w:rsidRPr="005A4136" w:rsidRDefault="005A4136" w:rsidP="005A4136">
      <w:pPr>
        <w:jc w:val="both"/>
        <w:rPr>
          <w:bCs/>
        </w:rPr>
      </w:pPr>
    </w:p>
    <w:p w14:paraId="5C7319F1" w14:textId="6055B494" w:rsidR="005A4136" w:rsidRDefault="005A4136" w:rsidP="005A4136">
      <w:pPr>
        <w:jc w:val="both"/>
        <w:rPr>
          <w:bCs/>
        </w:rPr>
      </w:pPr>
      <w:r w:rsidRPr="005A4136">
        <w:rPr>
          <w:bCs/>
        </w:rPr>
        <w:t>3. Globalna potrošnja u nabavkama procjenjuje se na skoro 9,5 biliona američkih dolara godišnje</w:t>
      </w:r>
      <w:r>
        <w:rPr>
          <w:bCs/>
        </w:rPr>
        <w:t xml:space="preserve"> </w:t>
      </w:r>
      <w:r w:rsidRPr="005A4136">
        <w:rPr>
          <w:bCs/>
        </w:rPr>
        <w:t>Webinarcare navodi da se globalni izdaci u nabavkama procjenjuju na skoro 9,5 biliona američkih dolara godišnje. S obzirom na to da javne nabavke ili državne nabavke nose odgovornost za obezbjeđivanje cijele nacije, to ima ogromne troškove.</w:t>
      </w:r>
    </w:p>
    <w:p w14:paraId="624EE5DD" w14:textId="77777777" w:rsidR="005A4136" w:rsidRPr="005A4136" w:rsidRDefault="005A4136" w:rsidP="005A4136">
      <w:pPr>
        <w:jc w:val="both"/>
        <w:rPr>
          <w:bCs/>
        </w:rPr>
      </w:pPr>
    </w:p>
    <w:p w14:paraId="791DD615" w14:textId="1B80460A" w:rsidR="005A4136" w:rsidRDefault="005A4136" w:rsidP="005A4136">
      <w:pPr>
        <w:jc w:val="both"/>
        <w:rPr>
          <w:bCs/>
        </w:rPr>
      </w:pPr>
      <w:r w:rsidRPr="005A4136">
        <w:rPr>
          <w:bCs/>
        </w:rPr>
        <w:t>4. Kina je daleko najveći dobavljač sa 4,2 triliona dolara</w:t>
      </w:r>
      <w:r>
        <w:rPr>
          <w:bCs/>
        </w:rPr>
        <w:t xml:space="preserve">. </w:t>
      </w:r>
      <w:r w:rsidRPr="005A4136">
        <w:rPr>
          <w:bCs/>
        </w:rPr>
        <w:t>Kina je najveći naručilac kada su u pitanju javne nabavke prema Spend Networku sa 4,2 biliona dolara. Imajte na umu da je ovo prema najnovijoj kompilaciji Spend Networka, koja je napravljena 2020.</w:t>
      </w:r>
    </w:p>
    <w:p w14:paraId="0F9827B4" w14:textId="77777777" w:rsidR="005A4136" w:rsidRPr="005A4136" w:rsidRDefault="005A4136" w:rsidP="005A4136">
      <w:pPr>
        <w:jc w:val="both"/>
        <w:rPr>
          <w:bCs/>
        </w:rPr>
      </w:pPr>
    </w:p>
    <w:p w14:paraId="1D061709" w14:textId="0FF996D9" w:rsidR="005A4136" w:rsidRDefault="005A4136" w:rsidP="005A4136">
      <w:pPr>
        <w:jc w:val="both"/>
        <w:rPr>
          <w:bCs/>
        </w:rPr>
      </w:pPr>
      <w:r w:rsidRPr="005A4136">
        <w:rPr>
          <w:bCs/>
        </w:rPr>
        <w:t>5. SAD troše 1,8 biliona dolara za javne nabavke</w:t>
      </w:r>
      <w:r>
        <w:rPr>
          <w:bCs/>
        </w:rPr>
        <w:t xml:space="preserve">. </w:t>
      </w:r>
      <w:r w:rsidRPr="005A4136">
        <w:rPr>
          <w:bCs/>
        </w:rPr>
        <w:t>SAD su na drugom mjestu s potrošnjom na javne nabavke od 1,8 biliona dolara prema Spend Network-u. Povrh svega, oko 14 zemalja godišnje troši između 100 milijardi i 1 bilion dolara.</w:t>
      </w:r>
      <w:r>
        <w:rPr>
          <w:bCs/>
        </w:rPr>
        <w:t xml:space="preserve"> </w:t>
      </w:r>
      <w:r w:rsidRPr="005A4136">
        <w:rPr>
          <w:bCs/>
        </w:rPr>
        <w:t>Od najviših do najnižih od najnovijih poznatih podataka koji su iz 2020. godine, to su Japan, Njemačka, Indija, Francuska, Velika Britanija, Indonezija, Kanada, Italija, Južna Koreja, Australija, Brazil, Holandija, Rusija i Španija.</w:t>
      </w:r>
    </w:p>
    <w:p w14:paraId="6AE696B8" w14:textId="77777777" w:rsidR="005A4136" w:rsidRPr="005A4136" w:rsidRDefault="005A4136" w:rsidP="005A4136">
      <w:pPr>
        <w:jc w:val="both"/>
        <w:rPr>
          <w:bCs/>
        </w:rPr>
      </w:pPr>
    </w:p>
    <w:p w14:paraId="7B8065FF" w14:textId="067A6C20" w:rsidR="005A4136" w:rsidRPr="005A4136" w:rsidRDefault="005A4136" w:rsidP="005A4136">
      <w:pPr>
        <w:jc w:val="both"/>
        <w:rPr>
          <w:bCs/>
        </w:rPr>
      </w:pPr>
      <w:r w:rsidRPr="005A4136">
        <w:rPr>
          <w:bCs/>
        </w:rPr>
        <w:t>6. 10-25% ukupne vrijednosti javnog ugovora može biti izgubljeno zbog korupcije</w:t>
      </w:r>
      <w:r>
        <w:rPr>
          <w:bCs/>
        </w:rPr>
        <w:t xml:space="preserve">. </w:t>
      </w:r>
      <w:r w:rsidRPr="005A4136">
        <w:rPr>
          <w:bCs/>
        </w:rPr>
        <w:t>Već poznavanje globalnih rashoda za javne nabavke na godišnjem nivou daje nam bolju sliku o tome šta se tačno gubi. Prema Webinarcare-u, 10-25% ukupne vrijednosti javnog ugovora može biti izgubljeno zbog korupcije. 10% od 9,5 triliona je 950 milijardi.</w:t>
      </w:r>
    </w:p>
    <w:p w14:paraId="07D5EB24" w14:textId="77777777" w:rsidR="005A4136" w:rsidRPr="005A4136" w:rsidRDefault="005A4136" w:rsidP="005A4136">
      <w:pPr>
        <w:jc w:val="both"/>
        <w:rPr>
          <w:bCs/>
        </w:rPr>
      </w:pPr>
    </w:p>
    <w:p w14:paraId="5E84A42D" w14:textId="77777777" w:rsidR="00676ACE" w:rsidRDefault="00676ACE" w:rsidP="00676ACE">
      <w:pPr>
        <w:rPr>
          <w:bCs/>
        </w:rPr>
      </w:pPr>
      <w:bookmarkStart w:id="13" w:name="_Toc168432489"/>
    </w:p>
    <w:p w14:paraId="74F75F9C" w14:textId="77777777" w:rsidR="00304593" w:rsidRDefault="00304593" w:rsidP="00676ACE">
      <w:pPr>
        <w:rPr>
          <w:bCs/>
        </w:rPr>
      </w:pPr>
    </w:p>
    <w:p w14:paraId="35722097" w14:textId="77777777" w:rsidR="00304593" w:rsidRDefault="00304593" w:rsidP="00676ACE">
      <w:pPr>
        <w:rPr>
          <w:bCs/>
        </w:rPr>
      </w:pPr>
    </w:p>
    <w:p w14:paraId="50B16E32" w14:textId="77777777" w:rsidR="00304593" w:rsidRDefault="00304593" w:rsidP="00676ACE">
      <w:pPr>
        <w:rPr>
          <w:bCs/>
        </w:rPr>
      </w:pPr>
    </w:p>
    <w:p w14:paraId="6145B6B3" w14:textId="77777777" w:rsidR="00304593" w:rsidRDefault="00304593" w:rsidP="00676ACE">
      <w:pPr>
        <w:rPr>
          <w:bCs/>
        </w:rPr>
      </w:pPr>
    </w:p>
    <w:p w14:paraId="7E4A8C08" w14:textId="77777777" w:rsidR="00304593" w:rsidRDefault="00304593" w:rsidP="00676ACE"/>
    <w:p w14:paraId="5984F8E7" w14:textId="77777777" w:rsidR="00676ACE" w:rsidRDefault="00676ACE" w:rsidP="00676ACE"/>
    <w:p w14:paraId="0299A246" w14:textId="77777777" w:rsidR="00676ACE" w:rsidRDefault="00676ACE" w:rsidP="00676ACE"/>
    <w:p w14:paraId="3A43A8F4" w14:textId="77777777" w:rsidR="00676ACE" w:rsidRDefault="00676ACE" w:rsidP="00676ACE"/>
    <w:p w14:paraId="5CB081F3" w14:textId="77777777" w:rsidR="00676ACE" w:rsidRDefault="00676ACE" w:rsidP="00676ACE"/>
    <w:p w14:paraId="20E9ED2F" w14:textId="77777777" w:rsidR="00676ACE" w:rsidRDefault="00676ACE" w:rsidP="00676ACE"/>
    <w:p w14:paraId="41FD21AA" w14:textId="77777777" w:rsidR="00676ACE" w:rsidRDefault="00676ACE" w:rsidP="00676ACE"/>
    <w:p w14:paraId="79EDBEB2" w14:textId="77777777" w:rsidR="00676ACE" w:rsidRPr="00676ACE" w:rsidRDefault="00676ACE" w:rsidP="00676ACE"/>
    <w:p w14:paraId="7073AC39" w14:textId="080B5B53" w:rsidR="0034518E" w:rsidRPr="00FC2F12" w:rsidRDefault="0034518E" w:rsidP="00FC2F12">
      <w:pPr>
        <w:pStyle w:val="Heading1"/>
      </w:pPr>
      <w:r w:rsidRPr="00FC2F12">
        <w:lastRenderedPageBreak/>
        <w:t>Zaključak</w:t>
      </w:r>
      <w:bookmarkEnd w:id="13"/>
      <w:r w:rsidRPr="00FC2F12">
        <w:t xml:space="preserve"> </w:t>
      </w:r>
    </w:p>
    <w:p w14:paraId="257B965D" w14:textId="77777777" w:rsidR="0034518E" w:rsidRDefault="0034518E" w:rsidP="0034518E">
      <w:pPr>
        <w:jc w:val="both"/>
        <w:rPr>
          <w:bCs/>
        </w:rPr>
      </w:pPr>
    </w:p>
    <w:p w14:paraId="721EB8E1" w14:textId="6AF65B2E" w:rsidR="0034518E" w:rsidRPr="0034518E" w:rsidRDefault="0034518E" w:rsidP="0034518E">
      <w:pPr>
        <w:jc w:val="both"/>
        <w:rPr>
          <w:bCs/>
        </w:rPr>
      </w:pPr>
      <w:r w:rsidRPr="0034518E">
        <w:rPr>
          <w:bCs/>
        </w:rPr>
        <w:t xml:space="preserve">Javna nabavka je dinamičan proces u kojem nije moguće predvidjeti sve moguće slučajeve koji će se pojaviti u praksi. Nekvalitetna priprema tehničkih specifikacija predmeta nabavke i pogrešno utvrđena procijenjena vrijednost može uzrokovati niz poteškoća naručiocu u provođenju  postupka javne nabavke. To uključuje diskriminaciju ponuđača putem tehničkih specifikacija, nedostupnost proizvoda na tržištu (potreba za modifikacijom opisa predmeta nabavke i usklađivanja procijenjene vrijednosti), kao i nezainteresovanost ponuđača za dostavljanje ponude zbog nerealno utvrđene procijenjene vrijednosti. </w:t>
      </w:r>
    </w:p>
    <w:p w14:paraId="1FA77F89" w14:textId="77777777" w:rsidR="0034518E" w:rsidRPr="0034518E" w:rsidRDefault="0034518E" w:rsidP="0034518E">
      <w:pPr>
        <w:jc w:val="both"/>
        <w:rPr>
          <w:bCs/>
        </w:rPr>
      </w:pPr>
    </w:p>
    <w:p w14:paraId="7A41B70C" w14:textId="4C3401E9" w:rsidR="0034518E" w:rsidRPr="0034518E" w:rsidRDefault="0034518E" w:rsidP="0034518E">
      <w:pPr>
        <w:jc w:val="both"/>
        <w:rPr>
          <w:bCs/>
        </w:rPr>
      </w:pPr>
      <w:r w:rsidRPr="0034518E">
        <w:rPr>
          <w:bCs/>
        </w:rPr>
        <w:t>Uspjeh svakog postupka javne nabavke u velikoj mjeri zavisi od kvalitetne pripreme i preciznog definisanja predmeta nabavke i procijenjene vrijednosti nabavke.</w:t>
      </w:r>
      <w:r>
        <w:rPr>
          <w:bCs/>
        </w:rPr>
        <w:t xml:space="preserve"> </w:t>
      </w:r>
      <w:r w:rsidRPr="0034518E">
        <w:rPr>
          <w:bCs/>
        </w:rPr>
        <w:t xml:space="preserve">Istaknuto je da je istraživanje tržišta ključna komponenta ove pripreme. Pravilno provođenje istraživanja tržišta pomaže naručiocu da realno procijeni vrijednost predmeta nabavke te prepozna potencijalne ponuđače i njihove kapacitete. </w:t>
      </w:r>
    </w:p>
    <w:p w14:paraId="46184B62" w14:textId="77777777" w:rsidR="0034518E" w:rsidRPr="0034518E" w:rsidRDefault="0034518E" w:rsidP="0034518E">
      <w:pPr>
        <w:jc w:val="both"/>
        <w:rPr>
          <w:bCs/>
        </w:rPr>
      </w:pPr>
    </w:p>
    <w:p w14:paraId="6DB801EF" w14:textId="77777777" w:rsidR="00624460" w:rsidRDefault="0034518E" w:rsidP="0034518E">
      <w:pPr>
        <w:jc w:val="both"/>
        <w:rPr>
          <w:bCs/>
        </w:rPr>
      </w:pPr>
      <w:r w:rsidRPr="0034518E">
        <w:rPr>
          <w:bCs/>
        </w:rPr>
        <w:t xml:space="preserve">Povezivanjem rezultata istraživanja s definisanjem predmeta nabavke i ispravne procijenjene vrijednosti, naručilac postiže bolju usklađenost sa stvarnim stanjem na tržištu, što minimizira rizike i poteškoće u provođenju postupka javne nabavke. </w:t>
      </w:r>
      <w:r>
        <w:rPr>
          <w:bCs/>
        </w:rPr>
        <w:t xml:space="preserve"> </w:t>
      </w:r>
    </w:p>
    <w:p w14:paraId="74F1F7B9" w14:textId="77777777" w:rsidR="00624460" w:rsidRDefault="00624460" w:rsidP="0034518E">
      <w:pPr>
        <w:jc w:val="both"/>
        <w:rPr>
          <w:bCs/>
        </w:rPr>
      </w:pPr>
    </w:p>
    <w:p w14:paraId="31953390" w14:textId="601D33DF" w:rsidR="0034518E" w:rsidRPr="0034518E" w:rsidRDefault="0034518E" w:rsidP="0034518E">
      <w:pPr>
        <w:jc w:val="both"/>
        <w:rPr>
          <w:bCs/>
        </w:rPr>
      </w:pPr>
      <w:r w:rsidRPr="0034518E">
        <w:rPr>
          <w:bCs/>
        </w:rPr>
        <w:t xml:space="preserve">Kroz cijeli postupak javne nabavke, </w:t>
      </w:r>
      <w:r w:rsidR="002561CE">
        <w:rPr>
          <w:bCs/>
        </w:rPr>
        <w:t>ugovorni organ</w:t>
      </w:r>
      <w:r w:rsidRPr="0034518E">
        <w:rPr>
          <w:bCs/>
        </w:rPr>
        <w:t xml:space="preserve"> je obavezan poštovati osnovna načela javne nabavke, uključujući načela transparentnosti, načela jednakosti svih ponuđača, te ekonomično, efikasno i efektivno </w:t>
      </w:r>
      <w:r w:rsidR="00624460">
        <w:rPr>
          <w:bCs/>
        </w:rPr>
        <w:t>korištenje</w:t>
      </w:r>
      <w:r w:rsidRPr="0034518E">
        <w:rPr>
          <w:bCs/>
        </w:rPr>
        <w:t xml:space="preserve"> javnih sredstava. U skladu s ovim, precizno i realno definisanje procijenjene vrijednosti nabavke postaje ne samo tehničko pitanje, već i način osiguranja integriteta i vjerodostojnosti cijelog procesa.</w:t>
      </w:r>
    </w:p>
    <w:p w14:paraId="5E16F7F4" w14:textId="77777777" w:rsidR="0034518E" w:rsidRDefault="0034518E" w:rsidP="0034518E">
      <w:pPr>
        <w:jc w:val="both"/>
        <w:rPr>
          <w:bCs/>
        </w:rPr>
      </w:pPr>
    </w:p>
    <w:p w14:paraId="16EFD4B4" w14:textId="0BC68A5F" w:rsidR="0034518E" w:rsidRDefault="002561CE" w:rsidP="0034518E">
      <w:pPr>
        <w:jc w:val="both"/>
        <w:rPr>
          <w:bCs/>
        </w:rPr>
      </w:pPr>
      <w:r>
        <w:rPr>
          <w:bCs/>
        </w:rPr>
        <w:t>Naime, j</w:t>
      </w:r>
      <w:r w:rsidR="0034518E" w:rsidRPr="0034518E">
        <w:rPr>
          <w:bCs/>
        </w:rPr>
        <w:t>avne nabavke se sve više smatraju ključnim područjem koje nosi veliku odgovornost prema javnosti u načinu na koji se upravlja javnim sredstvima.</w:t>
      </w:r>
      <w:r w:rsidR="0034518E">
        <w:rPr>
          <w:bCs/>
        </w:rPr>
        <w:t xml:space="preserve"> </w:t>
      </w:r>
      <w:r w:rsidR="0034518E" w:rsidRPr="0034518E">
        <w:rPr>
          <w:bCs/>
        </w:rPr>
        <w:t xml:space="preserve">S obzirom na to da se za javne nabavke izdvaja značajan dio novca poreznih obveznika, od javnih institucija se očekuje da ih provode efikasno i uz visoke standarde poštovanja propisa, kako bi zaštitile javni interes i osigurale adekvatnu vrijednost za </w:t>
      </w:r>
      <w:r w:rsidR="00FC2F12">
        <w:rPr>
          <w:bCs/>
        </w:rPr>
        <w:t xml:space="preserve">javni </w:t>
      </w:r>
      <w:r w:rsidR="0034518E" w:rsidRPr="0034518E">
        <w:rPr>
          <w:bCs/>
        </w:rPr>
        <w:t>novac</w:t>
      </w:r>
      <w:r w:rsidR="00FC2F12">
        <w:rPr>
          <w:bCs/>
        </w:rPr>
        <w:t>.</w:t>
      </w:r>
    </w:p>
    <w:p w14:paraId="2666D32E" w14:textId="157BDC62" w:rsidR="00207C21" w:rsidRPr="00207C21" w:rsidRDefault="00207C21" w:rsidP="00207C21">
      <w:pPr>
        <w:keepNext/>
        <w:keepLines/>
        <w:spacing w:before="240"/>
        <w:outlineLvl w:val="0"/>
        <w:rPr>
          <w:rFonts w:asciiTheme="majorHAnsi" w:eastAsiaTheme="majorEastAsia" w:hAnsiTheme="majorHAnsi" w:cstheme="majorBidi"/>
          <w:color w:val="365F91" w:themeColor="accent1" w:themeShade="BF"/>
          <w:sz w:val="32"/>
          <w:szCs w:val="32"/>
        </w:rPr>
      </w:pPr>
      <w:bookmarkStart w:id="14" w:name="_Toc168432490"/>
      <w:r w:rsidRPr="00FC2F12">
        <w:rPr>
          <w:rStyle w:val="Heading1Char"/>
        </w:rPr>
        <w:t>Literatura i izvori</w:t>
      </w:r>
      <w:r w:rsidRPr="00207C21">
        <w:rPr>
          <w:rFonts w:asciiTheme="majorHAnsi" w:eastAsiaTheme="majorEastAsia" w:hAnsiTheme="majorHAnsi" w:cstheme="majorBidi"/>
          <w:color w:val="365F91" w:themeColor="accent1" w:themeShade="BF"/>
          <w:sz w:val="32"/>
          <w:szCs w:val="32"/>
        </w:rPr>
        <w:t>:</w:t>
      </w:r>
      <w:bookmarkEnd w:id="14"/>
    </w:p>
    <w:p w14:paraId="51C0646D" w14:textId="77777777" w:rsidR="00207C21" w:rsidRPr="00207C21" w:rsidRDefault="00207C21" w:rsidP="00207C21">
      <w:pPr>
        <w:jc w:val="both"/>
        <w:rPr>
          <w:bCs/>
        </w:rPr>
      </w:pPr>
    </w:p>
    <w:p w14:paraId="5CD985D5" w14:textId="77777777" w:rsidR="00207C21" w:rsidRPr="00207C21" w:rsidRDefault="00207C21" w:rsidP="00207C21">
      <w:pPr>
        <w:numPr>
          <w:ilvl w:val="0"/>
          <w:numId w:val="31"/>
        </w:numPr>
        <w:contextualSpacing/>
        <w:jc w:val="both"/>
        <w:rPr>
          <w:rFonts w:eastAsia="Calibri"/>
          <w:bCs/>
        </w:rPr>
      </w:pPr>
      <w:r w:rsidRPr="00207C21">
        <w:rPr>
          <w:rFonts w:eastAsia="Calibri"/>
          <w:bCs/>
        </w:rPr>
        <w:t>Zakon o javnim nabavama („Službeni glasnik BiH“, br. 39/14 i 59/22)</w:t>
      </w:r>
    </w:p>
    <w:p w14:paraId="1FF02D39" w14:textId="77777777" w:rsidR="00207C21" w:rsidRPr="00207C21" w:rsidRDefault="00207C21" w:rsidP="00207C21">
      <w:pPr>
        <w:numPr>
          <w:ilvl w:val="0"/>
          <w:numId w:val="31"/>
        </w:numPr>
        <w:contextualSpacing/>
        <w:jc w:val="both"/>
        <w:rPr>
          <w:rFonts w:eastAsia="Calibri"/>
          <w:bCs/>
        </w:rPr>
      </w:pPr>
      <w:r w:rsidRPr="00207C21">
        <w:rPr>
          <w:rFonts w:eastAsia="Calibri"/>
          <w:bCs/>
        </w:rPr>
        <w:t>Smjernice za utvrđivanje procijenjene vrijednosti javne nabavke, Crna gora 2023</w:t>
      </w:r>
    </w:p>
    <w:p w14:paraId="764B01FA" w14:textId="1D25ABA1" w:rsidR="00EB4656" w:rsidRPr="00EB4656" w:rsidRDefault="00207C21" w:rsidP="00EB4656">
      <w:pPr>
        <w:numPr>
          <w:ilvl w:val="0"/>
          <w:numId w:val="31"/>
        </w:numPr>
        <w:contextualSpacing/>
        <w:jc w:val="both"/>
        <w:rPr>
          <w:rFonts w:eastAsia="Calibri"/>
          <w:bCs/>
        </w:rPr>
      </w:pPr>
      <w:r w:rsidRPr="00207C21">
        <w:rPr>
          <w:rFonts w:eastAsia="Calibri"/>
          <w:bCs/>
        </w:rPr>
        <w:t>Godišnji izvještaj o dodjeljenim ugovorima u postupcima javnih nabavki 2023</w:t>
      </w:r>
    </w:p>
    <w:p w14:paraId="5789D2AD" w14:textId="3A31ABCD" w:rsidR="00EB4656" w:rsidRPr="00EB4656" w:rsidRDefault="00EB4656" w:rsidP="00EB4656">
      <w:pPr>
        <w:numPr>
          <w:ilvl w:val="0"/>
          <w:numId w:val="31"/>
        </w:numPr>
        <w:contextualSpacing/>
        <w:jc w:val="both"/>
        <w:rPr>
          <w:rFonts w:eastAsia="Calibri"/>
          <w:bCs/>
        </w:rPr>
      </w:pPr>
      <w:r w:rsidRPr="00EB4656">
        <w:rPr>
          <w:bCs/>
        </w:rPr>
        <w:t>Fond otvorenog društva „Da javne nabavke u Bi</w:t>
      </w:r>
      <w:r>
        <w:rPr>
          <w:bCs/>
        </w:rPr>
        <w:t>H</w:t>
      </w:r>
      <w:r w:rsidRPr="00EB4656">
        <w:rPr>
          <w:bCs/>
        </w:rPr>
        <w:t xml:space="preserve"> postanu javne“ 2020 </w:t>
      </w:r>
    </w:p>
    <w:p w14:paraId="7FB4AFFB" w14:textId="333AE9EB" w:rsidR="00EB4656" w:rsidRDefault="00EB4656" w:rsidP="00EB4656">
      <w:pPr>
        <w:numPr>
          <w:ilvl w:val="0"/>
          <w:numId w:val="31"/>
        </w:numPr>
        <w:contextualSpacing/>
        <w:jc w:val="both"/>
        <w:rPr>
          <w:rFonts w:eastAsia="Calibri"/>
          <w:bCs/>
        </w:rPr>
      </w:pPr>
      <w:r w:rsidRPr="00EB4656">
        <w:rPr>
          <w:rFonts w:eastAsia="Calibri"/>
          <w:bCs/>
        </w:rPr>
        <w:t>Okvirna pojašnjena u vezi sa primjenom pojedinih odredbi zakona o izmjenama i dopunama Zakona o javnim nabavkama</w:t>
      </w:r>
      <w:r w:rsidR="00624460">
        <w:rPr>
          <w:rFonts w:eastAsia="Calibri"/>
          <w:bCs/>
        </w:rPr>
        <w:t>,</w:t>
      </w:r>
      <w:r>
        <w:rPr>
          <w:rFonts w:eastAsia="Calibri"/>
          <w:bCs/>
        </w:rPr>
        <w:t xml:space="preserve"> 2022</w:t>
      </w:r>
    </w:p>
    <w:p w14:paraId="13F65347" w14:textId="3C6A4C45" w:rsidR="00207C21" w:rsidRPr="00207C21" w:rsidRDefault="00207C21" w:rsidP="00EB4656">
      <w:pPr>
        <w:numPr>
          <w:ilvl w:val="0"/>
          <w:numId w:val="31"/>
        </w:numPr>
        <w:contextualSpacing/>
        <w:jc w:val="both"/>
        <w:rPr>
          <w:rFonts w:eastAsia="Calibri"/>
          <w:bCs/>
        </w:rPr>
      </w:pPr>
      <w:hyperlink r:id="rId16" w:history="1">
        <w:r w:rsidRPr="00FC2F12">
          <w:rPr>
            <w:rStyle w:val="Hyperlink"/>
            <w:rFonts w:ascii="Calibri" w:eastAsia="Calibri" w:hAnsi="Calibri"/>
            <w:bCs/>
            <w:sz w:val="22"/>
            <w:szCs w:val="22"/>
          </w:rPr>
          <w:t>https://www.spendnetwork.com/13-trillion-the-global-value-of-public-procurement/</w:t>
        </w:r>
      </w:hyperlink>
    </w:p>
    <w:p w14:paraId="6BE598F1" w14:textId="28581C08" w:rsidR="00207C21" w:rsidRPr="005A2461" w:rsidRDefault="00207C21" w:rsidP="00207C21">
      <w:pPr>
        <w:numPr>
          <w:ilvl w:val="0"/>
          <w:numId w:val="31"/>
        </w:numPr>
        <w:contextualSpacing/>
        <w:jc w:val="both"/>
        <w:rPr>
          <w:rFonts w:ascii="Calibri" w:eastAsia="Calibri" w:hAnsi="Calibri"/>
          <w:bCs/>
          <w:sz w:val="22"/>
          <w:szCs w:val="22"/>
        </w:rPr>
      </w:pPr>
      <w:hyperlink r:id="rId17" w:history="1">
        <w:r w:rsidRPr="00207C21">
          <w:rPr>
            <w:rFonts w:ascii="Calibri" w:eastAsia="Calibri" w:hAnsi="Calibri"/>
            <w:bCs/>
            <w:color w:val="238E68"/>
            <w:sz w:val="22"/>
            <w:szCs w:val="22"/>
            <w:u w:val="single"/>
          </w:rPr>
          <w:t>https://ec.europa.eu/docsroom/documents/</w:t>
        </w:r>
      </w:hyperlink>
    </w:p>
    <w:p w14:paraId="74417AB1" w14:textId="77777777" w:rsidR="005A2461" w:rsidRDefault="005A2461" w:rsidP="005A2461">
      <w:pPr>
        <w:contextualSpacing/>
        <w:jc w:val="both"/>
        <w:rPr>
          <w:rFonts w:ascii="Calibri" w:eastAsia="Calibri" w:hAnsi="Calibri"/>
          <w:bCs/>
          <w:color w:val="238E68"/>
          <w:sz w:val="22"/>
          <w:szCs w:val="22"/>
          <w:u w:val="single"/>
        </w:rPr>
      </w:pPr>
    </w:p>
    <w:p w14:paraId="32BC6535" w14:textId="77777777" w:rsidR="00FC2F12" w:rsidRDefault="00FC2F12" w:rsidP="00FC2F12">
      <w:pPr>
        <w:contextualSpacing/>
        <w:jc w:val="both"/>
        <w:rPr>
          <w:rFonts w:ascii="Calibri" w:eastAsia="Calibri" w:hAnsi="Calibri"/>
          <w:bCs/>
          <w:sz w:val="22"/>
          <w:szCs w:val="22"/>
        </w:rPr>
      </w:pPr>
    </w:p>
    <w:p w14:paraId="1D8A29B8" w14:textId="77777777" w:rsidR="00207C21" w:rsidRDefault="00207C21" w:rsidP="005A4136">
      <w:pPr>
        <w:jc w:val="both"/>
        <w:rPr>
          <w:bCs/>
        </w:rPr>
      </w:pPr>
    </w:p>
    <w:sectPr w:rsidR="00207C21" w:rsidSect="00585801">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8726" w14:textId="77777777" w:rsidR="006D1EB4" w:rsidRDefault="006D1EB4" w:rsidP="001E2C17">
      <w:r>
        <w:separator/>
      </w:r>
    </w:p>
  </w:endnote>
  <w:endnote w:type="continuationSeparator" w:id="0">
    <w:p w14:paraId="7208511D" w14:textId="77777777" w:rsidR="006D1EB4" w:rsidRDefault="006D1EB4" w:rsidP="001E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270F0" w14:paraId="45D10ACE" w14:textId="77777777" w:rsidTr="0033734A">
      <w:trPr>
        <w:trHeight w:val="283"/>
      </w:trPr>
      <w:tc>
        <w:tcPr>
          <w:tcW w:w="9286" w:type="dxa"/>
          <w:vAlign w:val="center"/>
        </w:tcPr>
        <w:p w14:paraId="5241EA94" w14:textId="77777777" w:rsidR="005270F0" w:rsidRDefault="005270F0" w:rsidP="005270F0">
          <w:pPr>
            <w:jc w:val="center"/>
            <w:rPr>
              <w:b/>
              <w:sz w:val="20"/>
              <w:szCs w:val="20"/>
              <w:lang w:val="hr-HR"/>
            </w:rPr>
          </w:pPr>
          <w:r w:rsidRPr="001E2C17">
            <w:rPr>
              <w:rFonts w:ascii="Wingdings" w:hAnsi="Wingdings"/>
              <w:noProof/>
              <w:sz w:val="20"/>
              <w:szCs w:val="20"/>
            </w:rPr>
            <w:t></w:t>
          </w:r>
          <w:r w:rsidRPr="001E2C17">
            <w:rPr>
              <w:rFonts w:ascii="Verdana" w:hAnsi="Verdana"/>
              <w:noProof/>
              <w:sz w:val="20"/>
              <w:szCs w:val="20"/>
            </w:rPr>
            <w:t xml:space="preserve">: </w:t>
          </w:r>
          <w:r>
            <w:rPr>
              <w:noProof/>
              <w:sz w:val="20"/>
              <w:szCs w:val="20"/>
            </w:rPr>
            <w:t>Maršala Tita 9a/I</w:t>
          </w:r>
          <w:r w:rsidRPr="001E2C17">
            <w:rPr>
              <w:noProof/>
              <w:sz w:val="20"/>
              <w:szCs w:val="20"/>
            </w:rPr>
            <w:t>, 71000 Sarajevo, BiH</w:t>
          </w:r>
          <w:r w:rsidRPr="001E2C17">
            <w:rPr>
              <w:rFonts w:ascii="Verdana" w:hAnsi="Verdana"/>
              <w:noProof/>
              <w:sz w:val="20"/>
              <w:szCs w:val="20"/>
            </w:rPr>
            <w:t xml:space="preserve">  </w:t>
          </w:r>
          <w:r w:rsidRPr="001E2C17">
            <w:rPr>
              <w:rFonts w:ascii="Verdana" w:hAnsi="Verdana"/>
              <w:noProof/>
              <w:sz w:val="16"/>
              <w:szCs w:val="16"/>
            </w:rPr>
            <w:t>●</w:t>
          </w:r>
          <w:r w:rsidRPr="001E2C17">
            <w:rPr>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+387 33 251 590</w:t>
          </w:r>
          <w:r w:rsidRPr="001E2C17">
            <w:rPr>
              <w:rFonts w:ascii="Verdana" w:hAnsi="Verdana"/>
              <w:noProof/>
              <w:sz w:val="20"/>
              <w:szCs w:val="20"/>
            </w:rPr>
            <w:t xml:space="preserve">  </w:t>
          </w:r>
          <w:r w:rsidRPr="001E2C17">
            <w:rPr>
              <w:rFonts w:ascii="Verdana" w:hAnsi="Verdana"/>
              <w:noProof/>
              <w:sz w:val="16"/>
              <w:szCs w:val="16"/>
            </w:rPr>
            <w:t>●</w:t>
          </w:r>
          <w:r w:rsidRPr="001E2C17">
            <w:rPr>
              <w:rFonts w:ascii="Verdana" w:hAnsi="Verdana"/>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+387 33 251 595</w:t>
          </w:r>
        </w:p>
      </w:tc>
    </w:tr>
    <w:tr w:rsidR="005270F0" w14:paraId="111824D4" w14:textId="77777777" w:rsidTr="0033734A">
      <w:trPr>
        <w:trHeight w:val="283"/>
      </w:trPr>
      <w:tc>
        <w:tcPr>
          <w:tcW w:w="9286" w:type="dxa"/>
          <w:vAlign w:val="center"/>
        </w:tcPr>
        <w:p w14:paraId="7F984EE8" w14:textId="77777777" w:rsidR="005270F0" w:rsidRDefault="005270F0" w:rsidP="005270F0">
          <w:pPr>
            <w:jc w:val="center"/>
            <w:rPr>
              <w:b/>
              <w:sz w:val="20"/>
              <w:szCs w:val="20"/>
              <w:lang w:val="hr-HR"/>
            </w:rPr>
          </w:pPr>
          <w:hyperlink r:id="rId1" w:history="1">
            <w:r w:rsidRPr="001E2C17">
              <w:rPr>
                <w:rStyle w:val="Hyperlink"/>
                <w:noProof/>
                <w:color w:val="000000" w:themeColor="text1"/>
                <w:sz w:val="20"/>
                <w:szCs w:val="20"/>
              </w:rPr>
              <w:t>kontakt@javnenabavke.gov.ba</w:t>
            </w:r>
          </w:hyperlink>
          <w:r w:rsidRPr="001E2C17">
            <w:rPr>
              <w:noProof/>
              <w:color w:val="000000" w:themeColor="text1"/>
              <w:sz w:val="20"/>
              <w:szCs w:val="20"/>
            </w:rPr>
            <w:t xml:space="preserve">  </w:t>
          </w:r>
          <w:r w:rsidRPr="001E2C17">
            <w:rPr>
              <w:noProof/>
              <w:color w:val="000000" w:themeColor="text1"/>
              <w:sz w:val="16"/>
              <w:szCs w:val="16"/>
            </w:rPr>
            <w:t>●</w:t>
          </w:r>
          <w:r w:rsidRPr="001E2C17">
            <w:rPr>
              <w:noProof/>
              <w:color w:val="000000" w:themeColor="text1"/>
              <w:sz w:val="20"/>
              <w:szCs w:val="20"/>
            </w:rPr>
            <w:t xml:space="preserve">  </w:t>
          </w:r>
          <w:hyperlink r:id="rId2" w:history="1">
            <w:r w:rsidRPr="001E2C17">
              <w:rPr>
                <w:rStyle w:val="Hyperlink"/>
                <w:noProof/>
                <w:color w:val="000000" w:themeColor="text1"/>
                <w:sz w:val="20"/>
                <w:szCs w:val="20"/>
              </w:rPr>
              <w:t>www.javnenabavke.gov.ba</w:t>
            </w:r>
          </w:hyperlink>
        </w:p>
      </w:tc>
    </w:tr>
  </w:tbl>
  <w:p w14:paraId="664986F2" w14:textId="77777777" w:rsidR="005270F0" w:rsidRDefault="00527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24B6E" w14:paraId="0B2A3B0F" w14:textId="77777777" w:rsidTr="007D6AFF">
      <w:trPr>
        <w:trHeight w:val="283"/>
      </w:trPr>
      <w:tc>
        <w:tcPr>
          <w:tcW w:w="9286" w:type="dxa"/>
          <w:vAlign w:val="center"/>
        </w:tcPr>
        <w:p w14:paraId="59F445E5" w14:textId="77777777" w:rsidR="00B24B6E" w:rsidRDefault="00B24B6E" w:rsidP="005270F0">
          <w:pPr>
            <w:jc w:val="center"/>
            <w:rPr>
              <w:b/>
              <w:sz w:val="20"/>
              <w:szCs w:val="20"/>
              <w:lang w:val="hr-HR"/>
            </w:rPr>
          </w:pPr>
          <w:r w:rsidRPr="001E2C17">
            <w:rPr>
              <w:rFonts w:ascii="Wingdings" w:hAnsi="Wingdings"/>
              <w:noProof/>
              <w:sz w:val="20"/>
              <w:szCs w:val="20"/>
            </w:rPr>
            <w:t></w:t>
          </w:r>
          <w:r w:rsidRPr="001E2C17">
            <w:rPr>
              <w:rFonts w:ascii="Verdana" w:hAnsi="Verdana"/>
              <w:noProof/>
              <w:sz w:val="20"/>
              <w:szCs w:val="20"/>
            </w:rPr>
            <w:t xml:space="preserve">: </w:t>
          </w:r>
          <w:r w:rsidR="005270F0">
            <w:rPr>
              <w:noProof/>
              <w:sz w:val="20"/>
              <w:szCs w:val="20"/>
            </w:rPr>
            <w:t>Maršala Tita 9a/I</w:t>
          </w:r>
          <w:r w:rsidRPr="001E2C17">
            <w:rPr>
              <w:noProof/>
              <w:sz w:val="20"/>
              <w:szCs w:val="20"/>
            </w:rPr>
            <w:t>, 71000 Sarajevo, BiH</w:t>
          </w:r>
          <w:r w:rsidRPr="001E2C17">
            <w:rPr>
              <w:rFonts w:ascii="Verdana" w:hAnsi="Verdana"/>
              <w:noProof/>
              <w:sz w:val="20"/>
              <w:szCs w:val="20"/>
            </w:rPr>
            <w:t xml:space="preserve">  </w:t>
          </w:r>
          <w:r w:rsidRPr="001E2C17">
            <w:rPr>
              <w:rFonts w:ascii="Verdana" w:hAnsi="Verdana"/>
              <w:noProof/>
              <w:sz w:val="16"/>
              <w:szCs w:val="16"/>
            </w:rPr>
            <w:t>●</w:t>
          </w:r>
          <w:r w:rsidRPr="001E2C17">
            <w:rPr>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+387 33 251 590</w:t>
          </w:r>
          <w:r w:rsidRPr="001E2C17">
            <w:rPr>
              <w:rFonts w:ascii="Verdana" w:hAnsi="Verdana"/>
              <w:noProof/>
              <w:sz w:val="20"/>
              <w:szCs w:val="20"/>
            </w:rPr>
            <w:t xml:space="preserve">  </w:t>
          </w:r>
          <w:r w:rsidRPr="001E2C17">
            <w:rPr>
              <w:rFonts w:ascii="Verdana" w:hAnsi="Verdana"/>
              <w:noProof/>
              <w:sz w:val="16"/>
              <w:szCs w:val="16"/>
            </w:rPr>
            <w:t>●</w:t>
          </w:r>
          <w:r w:rsidRPr="001E2C17">
            <w:rPr>
              <w:rFonts w:ascii="Verdana" w:hAnsi="Verdana"/>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+387 33 251 595</w:t>
          </w:r>
        </w:p>
      </w:tc>
    </w:tr>
    <w:tr w:rsidR="00B24B6E" w14:paraId="20B43694" w14:textId="77777777" w:rsidTr="007D6AFF">
      <w:trPr>
        <w:trHeight w:val="283"/>
      </w:trPr>
      <w:tc>
        <w:tcPr>
          <w:tcW w:w="9286" w:type="dxa"/>
          <w:vAlign w:val="center"/>
        </w:tcPr>
        <w:p w14:paraId="6E287242" w14:textId="77777777" w:rsidR="00B24B6E" w:rsidRDefault="00B24B6E" w:rsidP="00483520">
          <w:pPr>
            <w:jc w:val="center"/>
            <w:rPr>
              <w:b/>
              <w:sz w:val="20"/>
              <w:szCs w:val="20"/>
              <w:lang w:val="hr-HR"/>
            </w:rPr>
          </w:pPr>
          <w:hyperlink r:id="rId1" w:history="1">
            <w:r w:rsidRPr="001E2C17">
              <w:rPr>
                <w:rStyle w:val="Hyperlink"/>
                <w:noProof/>
                <w:color w:val="000000" w:themeColor="text1"/>
                <w:sz w:val="20"/>
                <w:szCs w:val="20"/>
              </w:rPr>
              <w:t>kontakt@javnenabavke.gov.ba</w:t>
            </w:r>
          </w:hyperlink>
          <w:r w:rsidRPr="001E2C17">
            <w:rPr>
              <w:noProof/>
              <w:color w:val="000000" w:themeColor="text1"/>
              <w:sz w:val="20"/>
              <w:szCs w:val="20"/>
            </w:rPr>
            <w:t xml:space="preserve">  </w:t>
          </w:r>
          <w:r w:rsidRPr="001E2C17">
            <w:rPr>
              <w:noProof/>
              <w:color w:val="000000" w:themeColor="text1"/>
              <w:sz w:val="16"/>
              <w:szCs w:val="16"/>
            </w:rPr>
            <w:t>●</w:t>
          </w:r>
          <w:r w:rsidRPr="001E2C17">
            <w:rPr>
              <w:noProof/>
              <w:color w:val="000000" w:themeColor="text1"/>
              <w:sz w:val="20"/>
              <w:szCs w:val="20"/>
            </w:rPr>
            <w:t xml:space="preserve">  </w:t>
          </w:r>
          <w:hyperlink r:id="rId2" w:history="1">
            <w:r w:rsidRPr="001E2C17">
              <w:rPr>
                <w:rStyle w:val="Hyperlink"/>
                <w:noProof/>
                <w:color w:val="000000" w:themeColor="text1"/>
                <w:sz w:val="20"/>
                <w:szCs w:val="20"/>
              </w:rPr>
              <w:t>www.javnenabavke.gov.ba</w:t>
            </w:r>
          </w:hyperlink>
        </w:p>
      </w:tc>
    </w:tr>
  </w:tbl>
  <w:p w14:paraId="3C9E951F" w14:textId="77777777" w:rsidR="00B24B6E" w:rsidRDefault="00B24B6E" w:rsidP="00520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C584" w14:textId="77777777" w:rsidR="005270F0" w:rsidRDefault="0052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83A7" w14:textId="77777777" w:rsidR="006D1EB4" w:rsidRDefault="006D1EB4" w:rsidP="001E2C17">
      <w:r>
        <w:separator/>
      </w:r>
    </w:p>
  </w:footnote>
  <w:footnote w:type="continuationSeparator" w:id="0">
    <w:p w14:paraId="6A8C6CE2" w14:textId="77777777" w:rsidR="006D1EB4" w:rsidRDefault="006D1EB4" w:rsidP="001E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F02F" w14:textId="77777777" w:rsidR="00DC5C19" w:rsidRDefault="00DC5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D471" w14:textId="77777777" w:rsidR="0035630B" w:rsidRDefault="0035630B"/>
  <w:p w14:paraId="51C3BA9B" w14:textId="77777777" w:rsidR="0035630B" w:rsidRDefault="0035630B"/>
  <w:p w14:paraId="5CDAB80E" w14:textId="77777777" w:rsidR="00B24B6E" w:rsidRDefault="00B24B6E" w:rsidP="000A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1757"/>
      <w:gridCol w:w="3742"/>
    </w:tblGrid>
    <w:tr w:rsidR="005270F0" w:rsidRPr="00AC3DB6" w14:paraId="6715FD09" w14:textId="77777777" w:rsidTr="0033734A">
      <w:trPr>
        <w:trHeight w:val="567"/>
      </w:trPr>
      <w:tc>
        <w:tcPr>
          <w:tcW w:w="3742" w:type="dxa"/>
          <w:vAlign w:val="center"/>
        </w:tcPr>
        <w:p w14:paraId="5FCA02A0" w14:textId="77777777" w:rsidR="005270F0" w:rsidRPr="007B1B40" w:rsidRDefault="005270F0" w:rsidP="005270F0">
          <w:pPr>
            <w:jc w:val="center"/>
            <w:rPr>
              <w:b/>
            </w:rPr>
          </w:pPr>
          <w:r w:rsidRPr="007B1B40">
            <w:rPr>
              <w:b/>
            </w:rPr>
            <w:t>BOSNA I HERCEGOVINA</w:t>
          </w:r>
        </w:p>
        <w:p w14:paraId="63D3A304" w14:textId="77777777" w:rsidR="005270F0" w:rsidRPr="00AC3DB6" w:rsidRDefault="005270F0" w:rsidP="005270F0">
          <w:pPr>
            <w:jc w:val="center"/>
            <w:rPr>
              <w:sz w:val="18"/>
              <w:szCs w:val="18"/>
            </w:rPr>
          </w:pPr>
          <w:r w:rsidRPr="00AC3DB6">
            <w:rPr>
              <w:sz w:val="18"/>
              <w:szCs w:val="18"/>
            </w:rPr>
            <w:t>AGENCIJA ZA JAVNE NABAVKE/NABAVE</w:t>
          </w:r>
        </w:p>
      </w:tc>
      <w:tc>
        <w:tcPr>
          <w:tcW w:w="1757" w:type="dxa"/>
          <w:vAlign w:val="center"/>
        </w:tcPr>
        <w:p w14:paraId="4921CA10" w14:textId="77777777" w:rsidR="005270F0" w:rsidRPr="00AC3DB6" w:rsidRDefault="005270F0" w:rsidP="005270F0">
          <w:pPr>
            <w:jc w:val="center"/>
            <w:rPr>
              <w:b/>
              <w:sz w:val="18"/>
              <w:szCs w:val="18"/>
            </w:rPr>
          </w:pPr>
          <w:r>
            <w:rPr>
              <w:b/>
              <w:noProof/>
              <w:sz w:val="18"/>
              <w:szCs w:val="18"/>
              <w:lang w:eastAsia="bs-Latn-BA"/>
            </w:rPr>
            <w:drawing>
              <wp:inline distT="0" distB="0" distL="0" distR="0" wp14:anchorId="1F2EF4D3" wp14:editId="67731260">
                <wp:extent cx="516567" cy="590550"/>
                <wp:effectExtent l="19050" t="0" r="0" b="0"/>
                <wp:docPr id="7" name="Picture 6" descr="grb-bih-kvalitetn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bih-kvalitetni3.png"/>
                        <pic:cNvPicPr/>
                      </pic:nvPicPr>
                      <pic:blipFill>
                        <a:blip r:embed="rId1"/>
                        <a:stretch>
                          <a:fillRect/>
                        </a:stretch>
                      </pic:blipFill>
                      <pic:spPr>
                        <a:xfrm>
                          <a:off x="0" y="0"/>
                          <a:ext cx="521211" cy="595859"/>
                        </a:xfrm>
                        <a:prstGeom prst="rect">
                          <a:avLst/>
                        </a:prstGeom>
                      </pic:spPr>
                    </pic:pic>
                  </a:graphicData>
                </a:graphic>
              </wp:inline>
            </w:drawing>
          </w:r>
        </w:p>
      </w:tc>
      <w:tc>
        <w:tcPr>
          <w:tcW w:w="3742" w:type="dxa"/>
          <w:vAlign w:val="center"/>
        </w:tcPr>
        <w:p w14:paraId="30519A16" w14:textId="77777777" w:rsidR="005270F0" w:rsidRPr="007B1B40" w:rsidRDefault="005270F0" w:rsidP="005270F0">
          <w:pPr>
            <w:jc w:val="center"/>
            <w:rPr>
              <w:b/>
              <w:lang w:val="sr-Cyrl-BA"/>
            </w:rPr>
          </w:pPr>
          <w:r w:rsidRPr="007B1B40">
            <w:rPr>
              <w:b/>
              <w:lang w:val="sr-Cyrl-BA"/>
            </w:rPr>
            <w:t>БОСНА И ХЕРЦЕГОВИНА</w:t>
          </w:r>
        </w:p>
        <w:p w14:paraId="45910267" w14:textId="77777777" w:rsidR="005270F0" w:rsidRPr="00AC3DB6" w:rsidRDefault="005270F0" w:rsidP="005270F0">
          <w:pPr>
            <w:jc w:val="center"/>
            <w:rPr>
              <w:sz w:val="18"/>
              <w:szCs w:val="18"/>
              <w:lang w:val="sr-Cyrl-BA"/>
            </w:rPr>
          </w:pPr>
          <w:r w:rsidRPr="00AC3DB6">
            <w:rPr>
              <w:sz w:val="18"/>
              <w:szCs w:val="18"/>
              <w:lang w:val="sr-Cyrl-BA"/>
            </w:rPr>
            <w:t>АГЕНЦИЈА ЗА ЈАВНЕ НАБАВКЕ</w:t>
          </w:r>
        </w:p>
      </w:tc>
    </w:tr>
    <w:tr w:rsidR="005270F0" w:rsidRPr="00AC3DB6" w14:paraId="41CEDB0F" w14:textId="77777777" w:rsidTr="0033734A">
      <w:trPr>
        <w:trHeight w:val="567"/>
      </w:trPr>
      <w:tc>
        <w:tcPr>
          <w:tcW w:w="9241" w:type="dxa"/>
          <w:gridSpan w:val="3"/>
          <w:tcBorders>
            <w:bottom w:val="single" w:sz="4" w:space="0" w:color="auto"/>
          </w:tcBorders>
          <w:vAlign w:val="center"/>
        </w:tcPr>
        <w:p w14:paraId="51993762" w14:textId="77777777" w:rsidR="005270F0" w:rsidRPr="007B1B40" w:rsidRDefault="005270F0" w:rsidP="005270F0">
          <w:pPr>
            <w:jc w:val="center"/>
            <w:rPr>
              <w:b/>
              <w:lang w:val="sr-Cyrl-BA"/>
            </w:rPr>
          </w:pPr>
          <w:r w:rsidRPr="007B1B40">
            <w:rPr>
              <w:b/>
              <w:lang w:val="sr-Cyrl-BA"/>
            </w:rPr>
            <w:t>BOSNIA AND HERZEGOVINA</w:t>
          </w:r>
        </w:p>
        <w:p w14:paraId="7DEE80C4" w14:textId="77777777" w:rsidR="005270F0" w:rsidRPr="00AC3DB6" w:rsidRDefault="005270F0" w:rsidP="005270F0">
          <w:pPr>
            <w:jc w:val="center"/>
            <w:rPr>
              <w:b/>
              <w:sz w:val="18"/>
              <w:szCs w:val="18"/>
            </w:rPr>
          </w:pPr>
          <w:r w:rsidRPr="00AC3DB6">
            <w:rPr>
              <w:sz w:val="18"/>
              <w:szCs w:val="18"/>
              <w:lang w:val="hr-HR"/>
            </w:rPr>
            <w:t>PUBLIC PROCUREMENT AGENCY</w:t>
          </w:r>
        </w:p>
      </w:tc>
    </w:tr>
  </w:tbl>
  <w:p w14:paraId="37B6B208" w14:textId="77777777" w:rsidR="005270F0" w:rsidRDefault="00527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3D86"/>
    <w:multiLevelType w:val="hybridMultilevel"/>
    <w:tmpl w:val="6EF05EB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7A6643"/>
    <w:multiLevelType w:val="hybridMultilevel"/>
    <w:tmpl w:val="FFFAE254"/>
    <w:lvl w:ilvl="0" w:tplc="EB7C96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07C0"/>
    <w:multiLevelType w:val="hybridMultilevel"/>
    <w:tmpl w:val="2202056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22804BD2"/>
    <w:multiLevelType w:val="hybridMultilevel"/>
    <w:tmpl w:val="156C4C9A"/>
    <w:lvl w:ilvl="0" w:tplc="E7F89D16">
      <w:numFmt w:val="bullet"/>
      <w:lvlText w:val="-"/>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25E160E8"/>
    <w:multiLevelType w:val="hybridMultilevel"/>
    <w:tmpl w:val="CD0007D4"/>
    <w:lvl w:ilvl="0" w:tplc="141A0017">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5" w15:restartNumberingAfterBreak="0">
    <w:nsid w:val="272B4583"/>
    <w:multiLevelType w:val="hybridMultilevel"/>
    <w:tmpl w:val="EA02E454"/>
    <w:lvl w:ilvl="0" w:tplc="47B8D7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78B4"/>
    <w:multiLevelType w:val="hybridMultilevel"/>
    <w:tmpl w:val="BECE7BBC"/>
    <w:lvl w:ilvl="0" w:tplc="E7F89D16">
      <w:numFmt w:val="bullet"/>
      <w:lvlText w:val="-"/>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2FF169FA"/>
    <w:multiLevelType w:val="hybridMultilevel"/>
    <w:tmpl w:val="F4E23D2A"/>
    <w:lvl w:ilvl="0" w:tplc="141A0011">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8" w15:restartNumberingAfterBreak="0">
    <w:nsid w:val="34D75D98"/>
    <w:multiLevelType w:val="hybridMultilevel"/>
    <w:tmpl w:val="B5481C5E"/>
    <w:lvl w:ilvl="0" w:tplc="E7F89D16">
      <w:numFmt w:val="bullet"/>
      <w:lvlText w:val="-"/>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AFA4A90"/>
    <w:multiLevelType w:val="hybridMultilevel"/>
    <w:tmpl w:val="B2B080FE"/>
    <w:lvl w:ilvl="0" w:tplc="141A000F">
      <w:start w:val="1"/>
      <w:numFmt w:val="decimal"/>
      <w:lvlText w:val="%1."/>
      <w:lvlJc w:val="left"/>
      <w:pPr>
        <w:ind w:left="720" w:hanging="360"/>
      </w:pPr>
    </w:lvl>
    <w:lvl w:ilvl="1" w:tplc="38C6762E">
      <w:start w:val="1"/>
      <w:numFmt w:val="decimal"/>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0" w15:restartNumberingAfterBreak="0">
    <w:nsid w:val="3B7064D3"/>
    <w:multiLevelType w:val="hybridMultilevel"/>
    <w:tmpl w:val="3B64E704"/>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 w15:restartNumberingAfterBreak="0">
    <w:nsid w:val="3EEC3230"/>
    <w:multiLevelType w:val="hybridMultilevel"/>
    <w:tmpl w:val="506EFBB0"/>
    <w:lvl w:ilvl="0" w:tplc="34864E80">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CE1904"/>
    <w:multiLevelType w:val="hybridMultilevel"/>
    <w:tmpl w:val="ED80EF72"/>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3" w15:restartNumberingAfterBreak="0">
    <w:nsid w:val="484C571F"/>
    <w:multiLevelType w:val="hybridMultilevel"/>
    <w:tmpl w:val="199AB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766B8"/>
    <w:multiLevelType w:val="hybridMultilevel"/>
    <w:tmpl w:val="E00E286A"/>
    <w:lvl w:ilvl="0" w:tplc="141A0017">
      <w:start w:val="1"/>
      <w:numFmt w:val="lowerLetter"/>
      <w:lvlText w:val="%1)"/>
      <w:lvlJc w:val="left"/>
      <w:pPr>
        <w:ind w:left="1428" w:hanging="360"/>
      </w:pPr>
    </w:lvl>
    <w:lvl w:ilvl="1" w:tplc="141A0019">
      <w:start w:val="1"/>
      <w:numFmt w:val="lowerLetter"/>
      <w:lvlText w:val="%2."/>
      <w:lvlJc w:val="left"/>
      <w:pPr>
        <w:ind w:left="2148" w:hanging="360"/>
      </w:pPr>
    </w:lvl>
    <w:lvl w:ilvl="2" w:tplc="141A001B">
      <w:start w:val="1"/>
      <w:numFmt w:val="lowerRoman"/>
      <w:lvlText w:val="%3."/>
      <w:lvlJc w:val="right"/>
      <w:pPr>
        <w:ind w:left="2868" w:hanging="180"/>
      </w:pPr>
    </w:lvl>
    <w:lvl w:ilvl="3" w:tplc="141A000F">
      <w:start w:val="1"/>
      <w:numFmt w:val="decimal"/>
      <w:lvlText w:val="%4."/>
      <w:lvlJc w:val="left"/>
      <w:pPr>
        <w:ind w:left="3588" w:hanging="360"/>
      </w:pPr>
    </w:lvl>
    <w:lvl w:ilvl="4" w:tplc="141A0019">
      <w:start w:val="1"/>
      <w:numFmt w:val="lowerLetter"/>
      <w:lvlText w:val="%5."/>
      <w:lvlJc w:val="left"/>
      <w:pPr>
        <w:ind w:left="4308" w:hanging="360"/>
      </w:pPr>
    </w:lvl>
    <w:lvl w:ilvl="5" w:tplc="141A001B">
      <w:start w:val="1"/>
      <w:numFmt w:val="lowerRoman"/>
      <w:lvlText w:val="%6."/>
      <w:lvlJc w:val="right"/>
      <w:pPr>
        <w:ind w:left="5028" w:hanging="180"/>
      </w:pPr>
    </w:lvl>
    <w:lvl w:ilvl="6" w:tplc="141A000F">
      <w:start w:val="1"/>
      <w:numFmt w:val="decimal"/>
      <w:lvlText w:val="%7."/>
      <w:lvlJc w:val="left"/>
      <w:pPr>
        <w:ind w:left="5748" w:hanging="360"/>
      </w:pPr>
    </w:lvl>
    <w:lvl w:ilvl="7" w:tplc="141A0019">
      <w:start w:val="1"/>
      <w:numFmt w:val="lowerLetter"/>
      <w:lvlText w:val="%8."/>
      <w:lvlJc w:val="left"/>
      <w:pPr>
        <w:ind w:left="6468" w:hanging="360"/>
      </w:pPr>
    </w:lvl>
    <w:lvl w:ilvl="8" w:tplc="141A001B">
      <w:start w:val="1"/>
      <w:numFmt w:val="lowerRoman"/>
      <w:lvlText w:val="%9."/>
      <w:lvlJc w:val="right"/>
      <w:pPr>
        <w:ind w:left="7188" w:hanging="180"/>
      </w:pPr>
    </w:lvl>
  </w:abstractNum>
  <w:abstractNum w:abstractNumId="15" w15:restartNumberingAfterBreak="0">
    <w:nsid w:val="5354137E"/>
    <w:multiLevelType w:val="hybridMultilevel"/>
    <w:tmpl w:val="5080A5E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6" w15:restartNumberingAfterBreak="0">
    <w:nsid w:val="573C61EF"/>
    <w:multiLevelType w:val="hybridMultilevel"/>
    <w:tmpl w:val="6A1294DC"/>
    <w:lvl w:ilvl="0" w:tplc="141A0011">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7" w15:restartNumberingAfterBreak="0">
    <w:nsid w:val="575068EE"/>
    <w:multiLevelType w:val="hybridMultilevel"/>
    <w:tmpl w:val="52F8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2979"/>
    <w:multiLevelType w:val="hybridMultilevel"/>
    <w:tmpl w:val="8466A5B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5BA225F5"/>
    <w:multiLevelType w:val="hybridMultilevel"/>
    <w:tmpl w:val="4B28D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4766B"/>
    <w:multiLevelType w:val="hybridMultilevel"/>
    <w:tmpl w:val="80105AB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62A35319"/>
    <w:multiLevelType w:val="hybridMultilevel"/>
    <w:tmpl w:val="3C6A3BDA"/>
    <w:lvl w:ilvl="0" w:tplc="3FC0F8E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2C72983"/>
    <w:multiLevelType w:val="hybridMultilevel"/>
    <w:tmpl w:val="02EC864E"/>
    <w:lvl w:ilvl="0" w:tplc="9D0422A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60B67"/>
    <w:multiLevelType w:val="hybridMultilevel"/>
    <w:tmpl w:val="1ED8C2B6"/>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66B20F68"/>
    <w:multiLevelType w:val="hybridMultilevel"/>
    <w:tmpl w:val="1FD222CA"/>
    <w:lvl w:ilvl="0" w:tplc="3B2A498E">
      <w:start w:val="3"/>
      <w:numFmt w:val="bullet"/>
      <w:lvlText w:val="-"/>
      <w:lvlJc w:val="left"/>
      <w:pPr>
        <w:ind w:left="1440" w:hanging="720"/>
      </w:pPr>
      <w:rPr>
        <w:rFonts w:ascii="Times New Roman" w:eastAsia="Times New Roman" w:hAnsi="Times New Roman" w:cs="Times New Roman"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hint="default"/>
      </w:rPr>
    </w:lvl>
  </w:abstractNum>
  <w:abstractNum w:abstractNumId="25" w15:restartNumberingAfterBreak="0">
    <w:nsid w:val="6A1B54FB"/>
    <w:multiLevelType w:val="hybridMultilevel"/>
    <w:tmpl w:val="0FC42C5A"/>
    <w:lvl w:ilvl="0" w:tplc="07E64074">
      <w:start w:val="1"/>
      <w:numFmt w:val="decimal"/>
      <w:lvlText w:val="(%1)"/>
      <w:lvlJc w:val="left"/>
      <w:pPr>
        <w:ind w:left="720" w:hanging="360"/>
      </w:pPr>
      <w:rPr>
        <w:rFonts w:hint="default"/>
      </w:rPr>
    </w:lvl>
    <w:lvl w:ilvl="1" w:tplc="07E64074">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0A53BDC"/>
    <w:multiLevelType w:val="hybridMultilevel"/>
    <w:tmpl w:val="31B65E10"/>
    <w:lvl w:ilvl="0" w:tplc="4E08F25A">
      <w:start w:val="1"/>
      <w:numFmt w:val="lowerLetter"/>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76434568"/>
    <w:multiLevelType w:val="hybridMultilevel"/>
    <w:tmpl w:val="4320825C"/>
    <w:lvl w:ilvl="0" w:tplc="8EEA21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22256"/>
    <w:multiLevelType w:val="singleLevel"/>
    <w:tmpl w:val="E7F89D16"/>
    <w:lvl w:ilvl="0">
      <w:numFmt w:val="bullet"/>
      <w:lvlText w:val="-"/>
      <w:lvlJc w:val="left"/>
      <w:pPr>
        <w:tabs>
          <w:tab w:val="num" w:pos="360"/>
        </w:tabs>
        <w:ind w:left="360" w:hanging="360"/>
      </w:pPr>
    </w:lvl>
  </w:abstractNum>
  <w:abstractNum w:abstractNumId="29" w15:restartNumberingAfterBreak="0">
    <w:nsid w:val="7AB95A14"/>
    <w:multiLevelType w:val="hybridMultilevel"/>
    <w:tmpl w:val="FD76575E"/>
    <w:lvl w:ilvl="0" w:tplc="141A0017">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num w:numId="1" w16cid:durableId="1661232361">
    <w:abstractNumId w:val="28"/>
  </w:num>
  <w:num w:numId="2" w16cid:durableId="1021780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718621">
    <w:abstractNumId w:val="13"/>
  </w:num>
  <w:num w:numId="4" w16cid:durableId="972829854">
    <w:abstractNumId w:val="23"/>
  </w:num>
  <w:num w:numId="5" w16cid:durableId="502626702">
    <w:abstractNumId w:val="0"/>
  </w:num>
  <w:num w:numId="6" w16cid:durableId="637998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8298061">
    <w:abstractNumId w:val="20"/>
  </w:num>
  <w:num w:numId="8" w16cid:durableId="318192087">
    <w:abstractNumId w:val="25"/>
  </w:num>
  <w:num w:numId="9" w16cid:durableId="1667902406">
    <w:abstractNumId w:val="2"/>
  </w:num>
  <w:num w:numId="10" w16cid:durableId="1635670192">
    <w:abstractNumId w:val="26"/>
  </w:num>
  <w:num w:numId="11" w16cid:durableId="966469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1439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236156">
    <w:abstractNumId w:val="21"/>
  </w:num>
  <w:num w:numId="14" w16cid:durableId="1773161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4845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3611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9844425">
    <w:abstractNumId w:val="24"/>
  </w:num>
  <w:num w:numId="18" w16cid:durableId="161167980">
    <w:abstractNumId w:val="3"/>
  </w:num>
  <w:num w:numId="19" w16cid:durableId="1428114859">
    <w:abstractNumId w:val="6"/>
  </w:num>
  <w:num w:numId="20" w16cid:durableId="832797384">
    <w:abstractNumId w:val="8"/>
  </w:num>
  <w:num w:numId="21" w16cid:durableId="5050497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59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9755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9962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5112486">
    <w:abstractNumId w:val="17"/>
  </w:num>
  <w:num w:numId="26" w16cid:durableId="1027750724">
    <w:abstractNumId w:val="18"/>
  </w:num>
  <w:num w:numId="27" w16cid:durableId="677732359">
    <w:abstractNumId w:val="27"/>
  </w:num>
  <w:num w:numId="28" w16cid:durableId="1489438850">
    <w:abstractNumId w:val="5"/>
  </w:num>
  <w:num w:numId="29" w16cid:durableId="449981673">
    <w:abstractNumId w:val="19"/>
  </w:num>
  <w:num w:numId="30" w16cid:durableId="336731353">
    <w:abstractNumId w:val="1"/>
  </w:num>
  <w:num w:numId="31" w16cid:durableId="15599762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C9"/>
    <w:rsid w:val="00001B54"/>
    <w:rsid w:val="0000467D"/>
    <w:rsid w:val="00007B67"/>
    <w:rsid w:val="00013C0C"/>
    <w:rsid w:val="00014EBB"/>
    <w:rsid w:val="000163A4"/>
    <w:rsid w:val="000221C0"/>
    <w:rsid w:val="00025BD2"/>
    <w:rsid w:val="00032C32"/>
    <w:rsid w:val="00035F30"/>
    <w:rsid w:val="0004133D"/>
    <w:rsid w:val="00041FA5"/>
    <w:rsid w:val="00051407"/>
    <w:rsid w:val="00051D20"/>
    <w:rsid w:val="000527DE"/>
    <w:rsid w:val="0005633A"/>
    <w:rsid w:val="00060E81"/>
    <w:rsid w:val="000616F1"/>
    <w:rsid w:val="000621D2"/>
    <w:rsid w:val="0006371D"/>
    <w:rsid w:val="0006535E"/>
    <w:rsid w:val="00071A90"/>
    <w:rsid w:val="000724A7"/>
    <w:rsid w:val="00074673"/>
    <w:rsid w:val="00075ECD"/>
    <w:rsid w:val="000815F6"/>
    <w:rsid w:val="00092E53"/>
    <w:rsid w:val="00093153"/>
    <w:rsid w:val="000942E5"/>
    <w:rsid w:val="000A0060"/>
    <w:rsid w:val="000A155F"/>
    <w:rsid w:val="000A360F"/>
    <w:rsid w:val="000A5870"/>
    <w:rsid w:val="000A5BB3"/>
    <w:rsid w:val="000B032C"/>
    <w:rsid w:val="000B430D"/>
    <w:rsid w:val="000C0996"/>
    <w:rsid w:val="000C6EF3"/>
    <w:rsid w:val="000D1582"/>
    <w:rsid w:val="000D2F00"/>
    <w:rsid w:val="000D3A23"/>
    <w:rsid w:val="000D41BF"/>
    <w:rsid w:val="000D7235"/>
    <w:rsid w:val="000E798C"/>
    <w:rsid w:val="000E7C18"/>
    <w:rsid w:val="000F22AE"/>
    <w:rsid w:val="000F553D"/>
    <w:rsid w:val="000F6AE3"/>
    <w:rsid w:val="00100F3F"/>
    <w:rsid w:val="0010556B"/>
    <w:rsid w:val="001063E7"/>
    <w:rsid w:val="00110FF2"/>
    <w:rsid w:val="00121318"/>
    <w:rsid w:val="00122E26"/>
    <w:rsid w:val="00123AE6"/>
    <w:rsid w:val="00126900"/>
    <w:rsid w:val="00126CB5"/>
    <w:rsid w:val="00130317"/>
    <w:rsid w:val="00131B54"/>
    <w:rsid w:val="00131F4D"/>
    <w:rsid w:val="0013376E"/>
    <w:rsid w:val="00133B6A"/>
    <w:rsid w:val="00141C40"/>
    <w:rsid w:val="00142B2B"/>
    <w:rsid w:val="00144E47"/>
    <w:rsid w:val="00145DC2"/>
    <w:rsid w:val="001515DE"/>
    <w:rsid w:val="00152231"/>
    <w:rsid w:val="00155F81"/>
    <w:rsid w:val="001619E6"/>
    <w:rsid w:val="0016657F"/>
    <w:rsid w:val="00174588"/>
    <w:rsid w:val="001809F2"/>
    <w:rsid w:val="00187950"/>
    <w:rsid w:val="001907A8"/>
    <w:rsid w:val="00193863"/>
    <w:rsid w:val="001A1880"/>
    <w:rsid w:val="001A20F4"/>
    <w:rsid w:val="001A3A66"/>
    <w:rsid w:val="001A4323"/>
    <w:rsid w:val="001A5BDA"/>
    <w:rsid w:val="001A6396"/>
    <w:rsid w:val="001B3E38"/>
    <w:rsid w:val="001B4F4E"/>
    <w:rsid w:val="001B599A"/>
    <w:rsid w:val="001C2B2E"/>
    <w:rsid w:val="001C33F5"/>
    <w:rsid w:val="001C3F0E"/>
    <w:rsid w:val="001C4069"/>
    <w:rsid w:val="001D09FF"/>
    <w:rsid w:val="001D22F2"/>
    <w:rsid w:val="001D2E54"/>
    <w:rsid w:val="001D3E4E"/>
    <w:rsid w:val="001D487E"/>
    <w:rsid w:val="001D7484"/>
    <w:rsid w:val="001E2C17"/>
    <w:rsid w:val="001E393F"/>
    <w:rsid w:val="001E4108"/>
    <w:rsid w:val="001E6E92"/>
    <w:rsid w:val="001F1617"/>
    <w:rsid w:val="001F27BE"/>
    <w:rsid w:val="001F4DDF"/>
    <w:rsid w:val="00202DC7"/>
    <w:rsid w:val="00203CC4"/>
    <w:rsid w:val="00206E0D"/>
    <w:rsid w:val="00207C21"/>
    <w:rsid w:val="002123F5"/>
    <w:rsid w:val="00212A86"/>
    <w:rsid w:val="0021394E"/>
    <w:rsid w:val="00214973"/>
    <w:rsid w:val="002269E5"/>
    <w:rsid w:val="00227861"/>
    <w:rsid w:val="002279A6"/>
    <w:rsid w:val="00227B09"/>
    <w:rsid w:val="0023276D"/>
    <w:rsid w:val="002354CB"/>
    <w:rsid w:val="00237D8C"/>
    <w:rsid w:val="00241C3A"/>
    <w:rsid w:val="00242147"/>
    <w:rsid w:val="002431C0"/>
    <w:rsid w:val="00253073"/>
    <w:rsid w:val="002561CE"/>
    <w:rsid w:val="00256355"/>
    <w:rsid w:val="00256777"/>
    <w:rsid w:val="00257595"/>
    <w:rsid w:val="00257E12"/>
    <w:rsid w:val="002668EE"/>
    <w:rsid w:val="00272162"/>
    <w:rsid w:val="002731A8"/>
    <w:rsid w:val="002732C8"/>
    <w:rsid w:val="0029473D"/>
    <w:rsid w:val="00294AF1"/>
    <w:rsid w:val="00295689"/>
    <w:rsid w:val="002B19F3"/>
    <w:rsid w:val="002B2566"/>
    <w:rsid w:val="002B4025"/>
    <w:rsid w:val="002B462A"/>
    <w:rsid w:val="002B59E7"/>
    <w:rsid w:val="002B720D"/>
    <w:rsid w:val="002C23C2"/>
    <w:rsid w:val="002C2B37"/>
    <w:rsid w:val="002E2AE9"/>
    <w:rsid w:val="002E68A5"/>
    <w:rsid w:val="002F12FA"/>
    <w:rsid w:val="00300B26"/>
    <w:rsid w:val="00301D85"/>
    <w:rsid w:val="00304593"/>
    <w:rsid w:val="00311363"/>
    <w:rsid w:val="0031587C"/>
    <w:rsid w:val="003169EB"/>
    <w:rsid w:val="003231B9"/>
    <w:rsid w:val="0032654D"/>
    <w:rsid w:val="003336AE"/>
    <w:rsid w:val="00335A4A"/>
    <w:rsid w:val="0034284C"/>
    <w:rsid w:val="0034518E"/>
    <w:rsid w:val="00354CBE"/>
    <w:rsid w:val="0035630B"/>
    <w:rsid w:val="00361202"/>
    <w:rsid w:val="00362B77"/>
    <w:rsid w:val="0036352B"/>
    <w:rsid w:val="00370D88"/>
    <w:rsid w:val="00373AEC"/>
    <w:rsid w:val="0037554E"/>
    <w:rsid w:val="003772D8"/>
    <w:rsid w:val="003804DA"/>
    <w:rsid w:val="003808C0"/>
    <w:rsid w:val="003858F9"/>
    <w:rsid w:val="003945DF"/>
    <w:rsid w:val="00395C8A"/>
    <w:rsid w:val="00397A90"/>
    <w:rsid w:val="003A1EF7"/>
    <w:rsid w:val="003A3F36"/>
    <w:rsid w:val="003A4F8B"/>
    <w:rsid w:val="003B0249"/>
    <w:rsid w:val="003B1394"/>
    <w:rsid w:val="003B72BE"/>
    <w:rsid w:val="003B752F"/>
    <w:rsid w:val="003C189C"/>
    <w:rsid w:val="003C3223"/>
    <w:rsid w:val="003C3AE5"/>
    <w:rsid w:val="003C4153"/>
    <w:rsid w:val="003C56B3"/>
    <w:rsid w:val="003C5935"/>
    <w:rsid w:val="003D2714"/>
    <w:rsid w:val="003D2D6A"/>
    <w:rsid w:val="003D6304"/>
    <w:rsid w:val="003E4DD5"/>
    <w:rsid w:val="003E5407"/>
    <w:rsid w:val="003F17CB"/>
    <w:rsid w:val="003F1BB4"/>
    <w:rsid w:val="003F62B1"/>
    <w:rsid w:val="004004A9"/>
    <w:rsid w:val="00402219"/>
    <w:rsid w:val="00403B40"/>
    <w:rsid w:val="00405E8A"/>
    <w:rsid w:val="0040759C"/>
    <w:rsid w:val="0041166A"/>
    <w:rsid w:val="00416EA6"/>
    <w:rsid w:val="0041772A"/>
    <w:rsid w:val="004261E7"/>
    <w:rsid w:val="00426B79"/>
    <w:rsid w:val="004274A9"/>
    <w:rsid w:val="00430303"/>
    <w:rsid w:val="00432005"/>
    <w:rsid w:val="0043505D"/>
    <w:rsid w:val="0043619C"/>
    <w:rsid w:val="004367A6"/>
    <w:rsid w:val="0044019F"/>
    <w:rsid w:val="004510C0"/>
    <w:rsid w:val="00454B44"/>
    <w:rsid w:val="00455A2C"/>
    <w:rsid w:val="00455BD0"/>
    <w:rsid w:val="004579D2"/>
    <w:rsid w:val="0046047F"/>
    <w:rsid w:val="00460A22"/>
    <w:rsid w:val="00460EAE"/>
    <w:rsid w:val="004647FC"/>
    <w:rsid w:val="00465B5D"/>
    <w:rsid w:val="004669D2"/>
    <w:rsid w:val="00471994"/>
    <w:rsid w:val="00482B64"/>
    <w:rsid w:val="00483520"/>
    <w:rsid w:val="0048368D"/>
    <w:rsid w:val="00486883"/>
    <w:rsid w:val="004868B4"/>
    <w:rsid w:val="00490DCA"/>
    <w:rsid w:val="00493731"/>
    <w:rsid w:val="00493B25"/>
    <w:rsid w:val="00496AE0"/>
    <w:rsid w:val="004B0C82"/>
    <w:rsid w:val="004B44A5"/>
    <w:rsid w:val="004B569A"/>
    <w:rsid w:val="004B6615"/>
    <w:rsid w:val="004B771D"/>
    <w:rsid w:val="004B7827"/>
    <w:rsid w:val="004C273A"/>
    <w:rsid w:val="004C388D"/>
    <w:rsid w:val="004C7D02"/>
    <w:rsid w:val="004D1AC5"/>
    <w:rsid w:val="004E0DA2"/>
    <w:rsid w:val="004E0E49"/>
    <w:rsid w:val="004E1D68"/>
    <w:rsid w:val="004E49CA"/>
    <w:rsid w:val="004F04F6"/>
    <w:rsid w:val="004F131D"/>
    <w:rsid w:val="004F1A3E"/>
    <w:rsid w:val="00502D13"/>
    <w:rsid w:val="00502E7F"/>
    <w:rsid w:val="00504270"/>
    <w:rsid w:val="00507FBB"/>
    <w:rsid w:val="00513B8D"/>
    <w:rsid w:val="00515DDF"/>
    <w:rsid w:val="00520DC1"/>
    <w:rsid w:val="00524764"/>
    <w:rsid w:val="00526521"/>
    <w:rsid w:val="005270F0"/>
    <w:rsid w:val="0053012E"/>
    <w:rsid w:val="00530E98"/>
    <w:rsid w:val="0053104E"/>
    <w:rsid w:val="005320B4"/>
    <w:rsid w:val="00536E37"/>
    <w:rsid w:val="00537441"/>
    <w:rsid w:val="00545FE3"/>
    <w:rsid w:val="005466E1"/>
    <w:rsid w:val="0054748B"/>
    <w:rsid w:val="00550E8B"/>
    <w:rsid w:val="00556496"/>
    <w:rsid w:val="00556EAD"/>
    <w:rsid w:val="00564BCA"/>
    <w:rsid w:val="00565DA9"/>
    <w:rsid w:val="00565DEA"/>
    <w:rsid w:val="0056694A"/>
    <w:rsid w:val="00576D51"/>
    <w:rsid w:val="005772AB"/>
    <w:rsid w:val="005778C4"/>
    <w:rsid w:val="00581D43"/>
    <w:rsid w:val="00584EF0"/>
    <w:rsid w:val="00585801"/>
    <w:rsid w:val="0058606B"/>
    <w:rsid w:val="00587163"/>
    <w:rsid w:val="005912C6"/>
    <w:rsid w:val="00591B07"/>
    <w:rsid w:val="005929FB"/>
    <w:rsid w:val="005933A8"/>
    <w:rsid w:val="005937D0"/>
    <w:rsid w:val="00597139"/>
    <w:rsid w:val="005A2461"/>
    <w:rsid w:val="005A33F6"/>
    <w:rsid w:val="005A4136"/>
    <w:rsid w:val="005B3316"/>
    <w:rsid w:val="005B6541"/>
    <w:rsid w:val="005C1336"/>
    <w:rsid w:val="005C396B"/>
    <w:rsid w:val="005D092A"/>
    <w:rsid w:val="005D2E68"/>
    <w:rsid w:val="005D3A37"/>
    <w:rsid w:val="005D3AC5"/>
    <w:rsid w:val="005D5046"/>
    <w:rsid w:val="005D56EC"/>
    <w:rsid w:val="005D5F43"/>
    <w:rsid w:val="005D7939"/>
    <w:rsid w:val="005F7D99"/>
    <w:rsid w:val="00601CBE"/>
    <w:rsid w:val="0060360F"/>
    <w:rsid w:val="006043C4"/>
    <w:rsid w:val="006046ED"/>
    <w:rsid w:val="00611188"/>
    <w:rsid w:val="006134A2"/>
    <w:rsid w:val="0061463A"/>
    <w:rsid w:val="006242D8"/>
    <w:rsid w:val="00624460"/>
    <w:rsid w:val="00624D88"/>
    <w:rsid w:val="0062690D"/>
    <w:rsid w:val="006270E1"/>
    <w:rsid w:val="0063143C"/>
    <w:rsid w:val="006379F8"/>
    <w:rsid w:val="00640B7A"/>
    <w:rsid w:val="00641B82"/>
    <w:rsid w:val="00641C4B"/>
    <w:rsid w:val="00644128"/>
    <w:rsid w:val="006447F9"/>
    <w:rsid w:val="00652484"/>
    <w:rsid w:val="00660601"/>
    <w:rsid w:val="0066091E"/>
    <w:rsid w:val="00660C45"/>
    <w:rsid w:val="00662436"/>
    <w:rsid w:val="00664D22"/>
    <w:rsid w:val="006657D8"/>
    <w:rsid w:val="006661CD"/>
    <w:rsid w:val="00666F14"/>
    <w:rsid w:val="00667E46"/>
    <w:rsid w:val="00667FF1"/>
    <w:rsid w:val="006707D9"/>
    <w:rsid w:val="006734A5"/>
    <w:rsid w:val="006745EF"/>
    <w:rsid w:val="00676ACE"/>
    <w:rsid w:val="006877B4"/>
    <w:rsid w:val="006926A6"/>
    <w:rsid w:val="00692A97"/>
    <w:rsid w:val="00693252"/>
    <w:rsid w:val="006A0BA5"/>
    <w:rsid w:val="006A20C7"/>
    <w:rsid w:val="006A6D28"/>
    <w:rsid w:val="006B3F43"/>
    <w:rsid w:val="006B7A1F"/>
    <w:rsid w:val="006C0018"/>
    <w:rsid w:val="006C329F"/>
    <w:rsid w:val="006D1946"/>
    <w:rsid w:val="006D1EB4"/>
    <w:rsid w:val="006D2258"/>
    <w:rsid w:val="006D433D"/>
    <w:rsid w:val="006D525B"/>
    <w:rsid w:val="006E7D3E"/>
    <w:rsid w:val="006F2B71"/>
    <w:rsid w:val="006F3FE0"/>
    <w:rsid w:val="006F4ABC"/>
    <w:rsid w:val="007066DD"/>
    <w:rsid w:val="007079CF"/>
    <w:rsid w:val="00710BC8"/>
    <w:rsid w:val="007113E7"/>
    <w:rsid w:val="00722843"/>
    <w:rsid w:val="00722CCA"/>
    <w:rsid w:val="00723B7B"/>
    <w:rsid w:val="00730707"/>
    <w:rsid w:val="0073084E"/>
    <w:rsid w:val="00733C6D"/>
    <w:rsid w:val="0074059E"/>
    <w:rsid w:val="00740963"/>
    <w:rsid w:val="007419F3"/>
    <w:rsid w:val="007430FF"/>
    <w:rsid w:val="00744039"/>
    <w:rsid w:val="00744642"/>
    <w:rsid w:val="00745828"/>
    <w:rsid w:val="00746072"/>
    <w:rsid w:val="0075168E"/>
    <w:rsid w:val="00752213"/>
    <w:rsid w:val="00766BF7"/>
    <w:rsid w:val="00771F07"/>
    <w:rsid w:val="007760BB"/>
    <w:rsid w:val="00776571"/>
    <w:rsid w:val="007804F5"/>
    <w:rsid w:val="00783973"/>
    <w:rsid w:val="00785CF5"/>
    <w:rsid w:val="00791585"/>
    <w:rsid w:val="00792BDC"/>
    <w:rsid w:val="00795D3B"/>
    <w:rsid w:val="00795D9C"/>
    <w:rsid w:val="0079707C"/>
    <w:rsid w:val="007A0301"/>
    <w:rsid w:val="007A40BF"/>
    <w:rsid w:val="007A760D"/>
    <w:rsid w:val="007B1B40"/>
    <w:rsid w:val="007B4129"/>
    <w:rsid w:val="007B7C04"/>
    <w:rsid w:val="007C21F3"/>
    <w:rsid w:val="007C241E"/>
    <w:rsid w:val="007D0504"/>
    <w:rsid w:val="007D3ECC"/>
    <w:rsid w:val="007D471B"/>
    <w:rsid w:val="007D6AFF"/>
    <w:rsid w:val="007D7223"/>
    <w:rsid w:val="007E01B2"/>
    <w:rsid w:val="007E31BA"/>
    <w:rsid w:val="007E3A84"/>
    <w:rsid w:val="007E4166"/>
    <w:rsid w:val="007F0DB7"/>
    <w:rsid w:val="007F6502"/>
    <w:rsid w:val="007F70B7"/>
    <w:rsid w:val="007F7BB5"/>
    <w:rsid w:val="0080107E"/>
    <w:rsid w:val="00802C93"/>
    <w:rsid w:val="00802E82"/>
    <w:rsid w:val="0080358B"/>
    <w:rsid w:val="00804D00"/>
    <w:rsid w:val="008108CF"/>
    <w:rsid w:val="00812963"/>
    <w:rsid w:val="0081419D"/>
    <w:rsid w:val="00823C3C"/>
    <w:rsid w:val="008312CB"/>
    <w:rsid w:val="00842D26"/>
    <w:rsid w:val="0084387D"/>
    <w:rsid w:val="00845D21"/>
    <w:rsid w:val="00847399"/>
    <w:rsid w:val="00853061"/>
    <w:rsid w:val="00861D1F"/>
    <w:rsid w:val="00862A07"/>
    <w:rsid w:val="00864274"/>
    <w:rsid w:val="008646A4"/>
    <w:rsid w:val="0086479F"/>
    <w:rsid w:val="00864FD1"/>
    <w:rsid w:val="008712E1"/>
    <w:rsid w:val="00873A5E"/>
    <w:rsid w:val="0087552F"/>
    <w:rsid w:val="0088583F"/>
    <w:rsid w:val="0088771A"/>
    <w:rsid w:val="008924A7"/>
    <w:rsid w:val="00892978"/>
    <w:rsid w:val="008A37DD"/>
    <w:rsid w:val="008A5A9A"/>
    <w:rsid w:val="008B1664"/>
    <w:rsid w:val="008B43FA"/>
    <w:rsid w:val="008B6E56"/>
    <w:rsid w:val="008B71EC"/>
    <w:rsid w:val="008C3023"/>
    <w:rsid w:val="008C656E"/>
    <w:rsid w:val="008C7A06"/>
    <w:rsid w:val="008D0A40"/>
    <w:rsid w:val="008D4935"/>
    <w:rsid w:val="008D51B2"/>
    <w:rsid w:val="008E42FF"/>
    <w:rsid w:val="008E6181"/>
    <w:rsid w:val="008E7F46"/>
    <w:rsid w:val="008F0456"/>
    <w:rsid w:val="008F14F8"/>
    <w:rsid w:val="008F17F3"/>
    <w:rsid w:val="008F19ED"/>
    <w:rsid w:val="008F280B"/>
    <w:rsid w:val="008F46EB"/>
    <w:rsid w:val="008F5877"/>
    <w:rsid w:val="008F7D7E"/>
    <w:rsid w:val="00902219"/>
    <w:rsid w:val="00902B25"/>
    <w:rsid w:val="00910061"/>
    <w:rsid w:val="00911782"/>
    <w:rsid w:val="00911FDE"/>
    <w:rsid w:val="0092041C"/>
    <w:rsid w:val="0092231F"/>
    <w:rsid w:val="0092777C"/>
    <w:rsid w:val="009400E2"/>
    <w:rsid w:val="0094264B"/>
    <w:rsid w:val="009437D5"/>
    <w:rsid w:val="0095029E"/>
    <w:rsid w:val="0095185C"/>
    <w:rsid w:val="0095525E"/>
    <w:rsid w:val="00955465"/>
    <w:rsid w:val="00956A4B"/>
    <w:rsid w:val="009601B8"/>
    <w:rsid w:val="009610C9"/>
    <w:rsid w:val="00964700"/>
    <w:rsid w:val="0096616E"/>
    <w:rsid w:val="00967D90"/>
    <w:rsid w:val="0097028A"/>
    <w:rsid w:val="00973315"/>
    <w:rsid w:val="0097356B"/>
    <w:rsid w:val="00973A15"/>
    <w:rsid w:val="0097406B"/>
    <w:rsid w:val="0098115E"/>
    <w:rsid w:val="009833F6"/>
    <w:rsid w:val="00984E06"/>
    <w:rsid w:val="00984ED5"/>
    <w:rsid w:val="00992CF1"/>
    <w:rsid w:val="00995E4B"/>
    <w:rsid w:val="00995F9B"/>
    <w:rsid w:val="009A069F"/>
    <w:rsid w:val="009A156E"/>
    <w:rsid w:val="009A2392"/>
    <w:rsid w:val="009A29AB"/>
    <w:rsid w:val="009A51F2"/>
    <w:rsid w:val="009B0348"/>
    <w:rsid w:val="009B081B"/>
    <w:rsid w:val="009B3F18"/>
    <w:rsid w:val="009D12EC"/>
    <w:rsid w:val="009D4870"/>
    <w:rsid w:val="009D67C3"/>
    <w:rsid w:val="009E0DA0"/>
    <w:rsid w:val="009E6102"/>
    <w:rsid w:val="009F04F1"/>
    <w:rsid w:val="009F0A5E"/>
    <w:rsid w:val="009F39C8"/>
    <w:rsid w:val="009F588F"/>
    <w:rsid w:val="009F5DE8"/>
    <w:rsid w:val="009F5EAC"/>
    <w:rsid w:val="00A02A83"/>
    <w:rsid w:val="00A02DE0"/>
    <w:rsid w:val="00A03799"/>
    <w:rsid w:val="00A04E01"/>
    <w:rsid w:val="00A104AB"/>
    <w:rsid w:val="00A11D7A"/>
    <w:rsid w:val="00A11F35"/>
    <w:rsid w:val="00A13FEE"/>
    <w:rsid w:val="00A1417E"/>
    <w:rsid w:val="00A16A09"/>
    <w:rsid w:val="00A17947"/>
    <w:rsid w:val="00A251AC"/>
    <w:rsid w:val="00A25F6A"/>
    <w:rsid w:val="00A325A8"/>
    <w:rsid w:val="00A32A95"/>
    <w:rsid w:val="00A357AF"/>
    <w:rsid w:val="00A416B8"/>
    <w:rsid w:val="00A43CA1"/>
    <w:rsid w:val="00A466C9"/>
    <w:rsid w:val="00A54F34"/>
    <w:rsid w:val="00A55040"/>
    <w:rsid w:val="00A6167E"/>
    <w:rsid w:val="00A70F9A"/>
    <w:rsid w:val="00A74BE8"/>
    <w:rsid w:val="00A7526F"/>
    <w:rsid w:val="00A84982"/>
    <w:rsid w:val="00A926AC"/>
    <w:rsid w:val="00A92C35"/>
    <w:rsid w:val="00A94595"/>
    <w:rsid w:val="00A95435"/>
    <w:rsid w:val="00A96C9F"/>
    <w:rsid w:val="00A97226"/>
    <w:rsid w:val="00AA1864"/>
    <w:rsid w:val="00AB02BD"/>
    <w:rsid w:val="00AB29CF"/>
    <w:rsid w:val="00AB729E"/>
    <w:rsid w:val="00AC1A27"/>
    <w:rsid w:val="00AC3DB6"/>
    <w:rsid w:val="00AC5E5E"/>
    <w:rsid w:val="00AD266B"/>
    <w:rsid w:val="00AD5B9A"/>
    <w:rsid w:val="00AD6C2D"/>
    <w:rsid w:val="00AE2430"/>
    <w:rsid w:val="00AE2653"/>
    <w:rsid w:val="00AE3622"/>
    <w:rsid w:val="00AE49F2"/>
    <w:rsid w:val="00AE60D8"/>
    <w:rsid w:val="00AF166E"/>
    <w:rsid w:val="00AF263C"/>
    <w:rsid w:val="00AF2F98"/>
    <w:rsid w:val="00AF5758"/>
    <w:rsid w:val="00AF60C7"/>
    <w:rsid w:val="00AF7406"/>
    <w:rsid w:val="00B00F1C"/>
    <w:rsid w:val="00B0231C"/>
    <w:rsid w:val="00B02F0E"/>
    <w:rsid w:val="00B04C7B"/>
    <w:rsid w:val="00B11533"/>
    <w:rsid w:val="00B22282"/>
    <w:rsid w:val="00B23A8D"/>
    <w:rsid w:val="00B24B6E"/>
    <w:rsid w:val="00B31389"/>
    <w:rsid w:val="00B313DE"/>
    <w:rsid w:val="00B31B1B"/>
    <w:rsid w:val="00B333DC"/>
    <w:rsid w:val="00B405EE"/>
    <w:rsid w:val="00B40E2C"/>
    <w:rsid w:val="00B45E8D"/>
    <w:rsid w:val="00B538A7"/>
    <w:rsid w:val="00B5399E"/>
    <w:rsid w:val="00B56B8A"/>
    <w:rsid w:val="00B709D6"/>
    <w:rsid w:val="00B70C9F"/>
    <w:rsid w:val="00B731D3"/>
    <w:rsid w:val="00B872C1"/>
    <w:rsid w:val="00B92B15"/>
    <w:rsid w:val="00B965E0"/>
    <w:rsid w:val="00B9721C"/>
    <w:rsid w:val="00BA2CEB"/>
    <w:rsid w:val="00BA561B"/>
    <w:rsid w:val="00BA69D6"/>
    <w:rsid w:val="00BB13C2"/>
    <w:rsid w:val="00BB68CB"/>
    <w:rsid w:val="00BB7A51"/>
    <w:rsid w:val="00BC0348"/>
    <w:rsid w:val="00BC0A44"/>
    <w:rsid w:val="00BC4261"/>
    <w:rsid w:val="00BC6042"/>
    <w:rsid w:val="00BD05C5"/>
    <w:rsid w:val="00BD3A5B"/>
    <w:rsid w:val="00C00545"/>
    <w:rsid w:val="00C00586"/>
    <w:rsid w:val="00C01088"/>
    <w:rsid w:val="00C02BE6"/>
    <w:rsid w:val="00C05BB3"/>
    <w:rsid w:val="00C07FAA"/>
    <w:rsid w:val="00C103FC"/>
    <w:rsid w:val="00C10FF2"/>
    <w:rsid w:val="00C16337"/>
    <w:rsid w:val="00C22CBE"/>
    <w:rsid w:val="00C3251B"/>
    <w:rsid w:val="00C33504"/>
    <w:rsid w:val="00C400F4"/>
    <w:rsid w:val="00C415FA"/>
    <w:rsid w:val="00C43169"/>
    <w:rsid w:val="00C4357F"/>
    <w:rsid w:val="00C44F6F"/>
    <w:rsid w:val="00C463DA"/>
    <w:rsid w:val="00C5336A"/>
    <w:rsid w:val="00C53CAC"/>
    <w:rsid w:val="00C53FB1"/>
    <w:rsid w:val="00C5444E"/>
    <w:rsid w:val="00C56C8B"/>
    <w:rsid w:val="00C56ECE"/>
    <w:rsid w:val="00C57031"/>
    <w:rsid w:val="00C5737E"/>
    <w:rsid w:val="00C62A0C"/>
    <w:rsid w:val="00C65446"/>
    <w:rsid w:val="00C654D5"/>
    <w:rsid w:val="00C70E2B"/>
    <w:rsid w:val="00C71D85"/>
    <w:rsid w:val="00C747EE"/>
    <w:rsid w:val="00C75850"/>
    <w:rsid w:val="00C76A35"/>
    <w:rsid w:val="00C82C3A"/>
    <w:rsid w:val="00C858D8"/>
    <w:rsid w:val="00C86AC1"/>
    <w:rsid w:val="00C871AE"/>
    <w:rsid w:val="00C87CF2"/>
    <w:rsid w:val="00C90A50"/>
    <w:rsid w:val="00C920EA"/>
    <w:rsid w:val="00C93BA3"/>
    <w:rsid w:val="00C948B5"/>
    <w:rsid w:val="00C95086"/>
    <w:rsid w:val="00C95432"/>
    <w:rsid w:val="00CA00E6"/>
    <w:rsid w:val="00CA6CF6"/>
    <w:rsid w:val="00CC1A6A"/>
    <w:rsid w:val="00CD37EA"/>
    <w:rsid w:val="00CD4179"/>
    <w:rsid w:val="00CD4390"/>
    <w:rsid w:val="00CD4D35"/>
    <w:rsid w:val="00CD6BE6"/>
    <w:rsid w:val="00CE07B7"/>
    <w:rsid w:val="00CE0BCA"/>
    <w:rsid w:val="00CE0F37"/>
    <w:rsid w:val="00CE5C8E"/>
    <w:rsid w:val="00CE6839"/>
    <w:rsid w:val="00CF34D2"/>
    <w:rsid w:val="00CF5F62"/>
    <w:rsid w:val="00D0296E"/>
    <w:rsid w:val="00D04D89"/>
    <w:rsid w:val="00D076B0"/>
    <w:rsid w:val="00D128D9"/>
    <w:rsid w:val="00D1382D"/>
    <w:rsid w:val="00D13BD1"/>
    <w:rsid w:val="00D16607"/>
    <w:rsid w:val="00D23C64"/>
    <w:rsid w:val="00D25828"/>
    <w:rsid w:val="00D26F94"/>
    <w:rsid w:val="00D30F78"/>
    <w:rsid w:val="00D312A7"/>
    <w:rsid w:val="00D364BF"/>
    <w:rsid w:val="00D40EE4"/>
    <w:rsid w:val="00D42913"/>
    <w:rsid w:val="00D42A26"/>
    <w:rsid w:val="00D43961"/>
    <w:rsid w:val="00D466F7"/>
    <w:rsid w:val="00D4692D"/>
    <w:rsid w:val="00D50CCD"/>
    <w:rsid w:val="00D616F3"/>
    <w:rsid w:val="00D61D46"/>
    <w:rsid w:val="00D651F2"/>
    <w:rsid w:val="00D73A9A"/>
    <w:rsid w:val="00D81241"/>
    <w:rsid w:val="00D83F59"/>
    <w:rsid w:val="00D854E9"/>
    <w:rsid w:val="00D86A3D"/>
    <w:rsid w:val="00D9092E"/>
    <w:rsid w:val="00D90F16"/>
    <w:rsid w:val="00D94522"/>
    <w:rsid w:val="00D94F46"/>
    <w:rsid w:val="00DA5F6E"/>
    <w:rsid w:val="00DB0DAD"/>
    <w:rsid w:val="00DC1B2C"/>
    <w:rsid w:val="00DC44D2"/>
    <w:rsid w:val="00DC5C19"/>
    <w:rsid w:val="00DD3DD5"/>
    <w:rsid w:val="00DD4810"/>
    <w:rsid w:val="00DD4D9F"/>
    <w:rsid w:val="00DD587F"/>
    <w:rsid w:val="00DD6188"/>
    <w:rsid w:val="00DD7E17"/>
    <w:rsid w:val="00DE0003"/>
    <w:rsid w:val="00DE05E0"/>
    <w:rsid w:val="00DE25BC"/>
    <w:rsid w:val="00DF0BD5"/>
    <w:rsid w:val="00DF2F6E"/>
    <w:rsid w:val="00DF4F63"/>
    <w:rsid w:val="00E01DF2"/>
    <w:rsid w:val="00E024B9"/>
    <w:rsid w:val="00E05216"/>
    <w:rsid w:val="00E07135"/>
    <w:rsid w:val="00E1139F"/>
    <w:rsid w:val="00E23946"/>
    <w:rsid w:val="00E23FBD"/>
    <w:rsid w:val="00E257CE"/>
    <w:rsid w:val="00E26898"/>
    <w:rsid w:val="00E26A3C"/>
    <w:rsid w:val="00E275D5"/>
    <w:rsid w:val="00E30AF1"/>
    <w:rsid w:val="00E32ABD"/>
    <w:rsid w:val="00E35689"/>
    <w:rsid w:val="00E35BF2"/>
    <w:rsid w:val="00E36A6D"/>
    <w:rsid w:val="00E379C4"/>
    <w:rsid w:val="00E42566"/>
    <w:rsid w:val="00E50BF7"/>
    <w:rsid w:val="00E5102C"/>
    <w:rsid w:val="00E51C24"/>
    <w:rsid w:val="00E52995"/>
    <w:rsid w:val="00E53D17"/>
    <w:rsid w:val="00E56129"/>
    <w:rsid w:val="00E632BC"/>
    <w:rsid w:val="00E646AD"/>
    <w:rsid w:val="00E64A62"/>
    <w:rsid w:val="00E82987"/>
    <w:rsid w:val="00E8693A"/>
    <w:rsid w:val="00E96980"/>
    <w:rsid w:val="00E9770D"/>
    <w:rsid w:val="00EA2344"/>
    <w:rsid w:val="00EA2389"/>
    <w:rsid w:val="00EA3632"/>
    <w:rsid w:val="00EB1B18"/>
    <w:rsid w:val="00EB3DA6"/>
    <w:rsid w:val="00EB4656"/>
    <w:rsid w:val="00EB684F"/>
    <w:rsid w:val="00EC05CB"/>
    <w:rsid w:val="00EC1320"/>
    <w:rsid w:val="00EC1C91"/>
    <w:rsid w:val="00EC5843"/>
    <w:rsid w:val="00EC6FF7"/>
    <w:rsid w:val="00ED795A"/>
    <w:rsid w:val="00EE0BED"/>
    <w:rsid w:val="00EE60CF"/>
    <w:rsid w:val="00EE6BCD"/>
    <w:rsid w:val="00EE75E5"/>
    <w:rsid w:val="00EF63CF"/>
    <w:rsid w:val="00F00069"/>
    <w:rsid w:val="00F015CE"/>
    <w:rsid w:val="00F12179"/>
    <w:rsid w:val="00F13BF4"/>
    <w:rsid w:val="00F208BD"/>
    <w:rsid w:val="00F21412"/>
    <w:rsid w:val="00F260D0"/>
    <w:rsid w:val="00F26E42"/>
    <w:rsid w:val="00F30FB3"/>
    <w:rsid w:val="00F33B8C"/>
    <w:rsid w:val="00F35918"/>
    <w:rsid w:val="00F363ED"/>
    <w:rsid w:val="00F43CBD"/>
    <w:rsid w:val="00F45A26"/>
    <w:rsid w:val="00F50DDD"/>
    <w:rsid w:val="00F53CCF"/>
    <w:rsid w:val="00F602F3"/>
    <w:rsid w:val="00F704D6"/>
    <w:rsid w:val="00F713C2"/>
    <w:rsid w:val="00F76F9B"/>
    <w:rsid w:val="00F811E1"/>
    <w:rsid w:val="00F817C9"/>
    <w:rsid w:val="00F8422F"/>
    <w:rsid w:val="00F85DB8"/>
    <w:rsid w:val="00F869E8"/>
    <w:rsid w:val="00F9357A"/>
    <w:rsid w:val="00F95021"/>
    <w:rsid w:val="00F9569F"/>
    <w:rsid w:val="00FA7135"/>
    <w:rsid w:val="00FB21D5"/>
    <w:rsid w:val="00FB4D2F"/>
    <w:rsid w:val="00FB50B1"/>
    <w:rsid w:val="00FB69FF"/>
    <w:rsid w:val="00FC0476"/>
    <w:rsid w:val="00FC061C"/>
    <w:rsid w:val="00FC2F12"/>
    <w:rsid w:val="00FC3DCE"/>
    <w:rsid w:val="00FC47DB"/>
    <w:rsid w:val="00FC7624"/>
    <w:rsid w:val="00FD1A7C"/>
    <w:rsid w:val="00FD753E"/>
    <w:rsid w:val="00FE0FBC"/>
    <w:rsid w:val="00FE24B2"/>
    <w:rsid w:val="00FE438B"/>
    <w:rsid w:val="00FE4A39"/>
    <w:rsid w:val="00FF087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F1A91"/>
  <w15:docId w15:val="{1EA5E8C4-A0D7-41C3-9627-0D8F1B7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5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65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10B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D7E17"/>
    <w:pPr>
      <w:keepNext/>
      <w:spacing w:before="240" w:after="60"/>
      <w:outlineLvl w:val="2"/>
    </w:pPr>
    <w:rPr>
      <w:rFonts w:ascii="Calibri Light" w:hAnsi="Calibri Light"/>
      <w:b/>
      <w:bCs/>
      <w:color w:val="000000"/>
      <w:sz w:val="26"/>
      <w:szCs w:val="26"/>
      <w:lang w:val="hr-HR" w:eastAsia="hr-HR"/>
    </w:rPr>
  </w:style>
  <w:style w:type="paragraph" w:styleId="Heading4">
    <w:name w:val="heading 4"/>
    <w:basedOn w:val="Normal"/>
    <w:next w:val="Normal"/>
    <w:link w:val="Heading4Char"/>
    <w:uiPriority w:val="9"/>
    <w:semiHidden/>
    <w:unhideWhenUsed/>
    <w:qFormat/>
    <w:rsid w:val="00550E8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D90F16"/>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0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610C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10C9"/>
    <w:rPr>
      <w:rFonts w:ascii="Tahoma" w:hAnsi="Tahoma" w:cs="Tahoma"/>
      <w:sz w:val="16"/>
      <w:szCs w:val="16"/>
    </w:rPr>
  </w:style>
  <w:style w:type="paragraph" w:styleId="Header">
    <w:name w:val="header"/>
    <w:basedOn w:val="Normal"/>
    <w:link w:val="HeaderChar"/>
    <w:uiPriority w:val="99"/>
    <w:unhideWhenUsed/>
    <w:rsid w:val="001E2C17"/>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E2C17"/>
  </w:style>
  <w:style w:type="paragraph" w:styleId="Footer">
    <w:name w:val="footer"/>
    <w:basedOn w:val="Normal"/>
    <w:link w:val="FooterChar"/>
    <w:uiPriority w:val="99"/>
    <w:unhideWhenUsed/>
    <w:rsid w:val="001E2C17"/>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E2C17"/>
  </w:style>
  <w:style w:type="character" w:styleId="Hyperlink">
    <w:name w:val="Hyperlink"/>
    <w:basedOn w:val="DefaultParagraphFont"/>
    <w:uiPriority w:val="99"/>
    <w:rsid w:val="001E2C17"/>
    <w:rPr>
      <w:color w:val="238E68"/>
      <w:u w:val="single"/>
    </w:rPr>
  </w:style>
  <w:style w:type="paragraph" w:styleId="NormalWeb">
    <w:name w:val="Normal (Web)"/>
    <w:basedOn w:val="Normal"/>
    <w:rsid w:val="001E2C17"/>
    <w:pPr>
      <w:spacing w:before="100" w:beforeAutospacing="1" w:after="100" w:afterAutospacing="1"/>
    </w:pPr>
    <w:rPr>
      <w:color w:val="000000"/>
      <w:lang w:val="hr-HR" w:eastAsia="hr-HR"/>
    </w:rPr>
  </w:style>
  <w:style w:type="character" w:customStyle="1" w:styleId="Heading5Char">
    <w:name w:val="Heading 5 Char"/>
    <w:basedOn w:val="DefaultParagraphFont"/>
    <w:link w:val="Heading5"/>
    <w:rsid w:val="00D90F16"/>
    <w:rPr>
      <w:rFonts w:ascii="Times New Roman" w:eastAsia="Times New Roman" w:hAnsi="Times New Roman" w:cs="Times New Roman"/>
      <w:b/>
      <w:sz w:val="24"/>
      <w:szCs w:val="24"/>
      <w:lang w:val="en-GB"/>
    </w:rPr>
  </w:style>
  <w:style w:type="paragraph" w:styleId="ListParagraph">
    <w:name w:val="List Paragraph"/>
    <w:basedOn w:val="Normal"/>
    <w:uiPriority w:val="34"/>
    <w:qFormat/>
    <w:rsid w:val="00D90F16"/>
    <w:pPr>
      <w:ind w:left="720"/>
      <w:contextualSpacing/>
      <w:jc w:val="center"/>
    </w:pPr>
    <w:rPr>
      <w:rFonts w:ascii="Calibri" w:eastAsia="Calibri" w:hAnsi="Calibri"/>
      <w:sz w:val="22"/>
      <w:szCs w:val="22"/>
    </w:rPr>
  </w:style>
  <w:style w:type="paragraph" w:styleId="BodyText">
    <w:name w:val="Body Text"/>
    <w:basedOn w:val="Normal"/>
    <w:link w:val="BodyTextChar"/>
    <w:rsid w:val="00D90F16"/>
    <w:pPr>
      <w:jc w:val="both"/>
    </w:pPr>
    <w:rPr>
      <w:rFonts w:ascii="Arial" w:hAnsi="Arial" w:cs="Arial"/>
      <w:sz w:val="22"/>
      <w:lang w:val="hr-HR"/>
    </w:rPr>
  </w:style>
  <w:style w:type="character" w:customStyle="1" w:styleId="BodyTextChar">
    <w:name w:val="Body Text Char"/>
    <w:basedOn w:val="DefaultParagraphFont"/>
    <w:link w:val="BodyText"/>
    <w:rsid w:val="00D90F16"/>
    <w:rPr>
      <w:rFonts w:ascii="Arial" w:eastAsia="Times New Roman" w:hAnsi="Arial" w:cs="Arial"/>
      <w:szCs w:val="24"/>
      <w:lang w:val="hr-HR"/>
    </w:rPr>
  </w:style>
  <w:style w:type="character" w:customStyle="1" w:styleId="small1">
    <w:name w:val="small1"/>
    <w:basedOn w:val="DefaultParagraphFont"/>
    <w:rsid w:val="00D90F16"/>
    <w:rPr>
      <w:rFonts w:ascii="Verdana" w:hAnsi="Verdana" w:hint="default"/>
      <w:sz w:val="15"/>
      <w:szCs w:val="15"/>
    </w:rPr>
  </w:style>
  <w:style w:type="paragraph" w:customStyle="1" w:styleId="Bullet1">
    <w:name w:val="Bullet 1"/>
    <w:rsid w:val="00D90F16"/>
    <w:pPr>
      <w:spacing w:after="180" w:line="240" w:lineRule="auto"/>
      <w:jc w:val="both"/>
    </w:pPr>
    <w:rPr>
      <w:rFonts w:ascii="Times New Roman" w:eastAsia="Times New Roman" w:hAnsi="Times New Roman" w:cs="Times New Roman"/>
      <w:sz w:val="24"/>
      <w:szCs w:val="20"/>
      <w:lang w:val="en-US"/>
    </w:rPr>
  </w:style>
  <w:style w:type="paragraph" w:customStyle="1" w:styleId="msolistparagraph0">
    <w:name w:val="msolistparagraph"/>
    <w:basedOn w:val="Normal"/>
    <w:rsid w:val="008B1664"/>
    <w:pPr>
      <w:ind w:left="720"/>
    </w:pPr>
    <w:rPr>
      <w:rFonts w:ascii="Calibri" w:hAnsi="Calibri"/>
      <w:sz w:val="22"/>
      <w:szCs w:val="22"/>
      <w:lang w:val="en-US"/>
    </w:rPr>
  </w:style>
  <w:style w:type="character" w:customStyle="1" w:styleId="Heading4Char">
    <w:name w:val="Heading 4 Char"/>
    <w:basedOn w:val="DefaultParagraphFont"/>
    <w:link w:val="Heading4"/>
    <w:uiPriority w:val="9"/>
    <w:semiHidden/>
    <w:rsid w:val="00550E8B"/>
    <w:rPr>
      <w:rFonts w:asciiTheme="majorHAnsi" w:eastAsiaTheme="majorEastAsia" w:hAnsiTheme="majorHAnsi" w:cstheme="majorBidi"/>
      <w:i/>
      <w:iCs/>
      <w:color w:val="365F91" w:themeColor="accent1" w:themeShade="BF"/>
      <w:sz w:val="24"/>
      <w:szCs w:val="24"/>
      <w:lang w:val="en-GB"/>
    </w:rPr>
  </w:style>
  <w:style w:type="paragraph" w:customStyle="1" w:styleId="Default">
    <w:name w:val="Default"/>
    <w:rsid w:val="004604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l18">
    <w:name w:val="stl_18"/>
    <w:rsid w:val="00DD3DD5"/>
  </w:style>
  <w:style w:type="character" w:styleId="Strong">
    <w:name w:val="Strong"/>
    <w:qFormat/>
    <w:rsid w:val="006B3F43"/>
    <w:rPr>
      <w:b/>
      <w:bCs/>
    </w:rPr>
  </w:style>
  <w:style w:type="character" w:customStyle="1" w:styleId="jlqj4b">
    <w:name w:val="jlqj4b"/>
    <w:basedOn w:val="DefaultParagraphFont"/>
    <w:rsid w:val="00E36A6D"/>
  </w:style>
  <w:style w:type="character" w:customStyle="1" w:styleId="Heading3Char">
    <w:name w:val="Heading 3 Char"/>
    <w:basedOn w:val="DefaultParagraphFont"/>
    <w:link w:val="Heading3"/>
    <w:rsid w:val="00DD7E17"/>
    <w:rPr>
      <w:rFonts w:ascii="Calibri Light" w:eastAsia="Times New Roman" w:hAnsi="Calibri Light" w:cs="Times New Roman"/>
      <w:b/>
      <w:bCs/>
      <w:color w:val="000000"/>
      <w:sz w:val="26"/>
      <w:szCs w:val="26"/>
      <w:lang w:val="hr-HR" w:eastAsia="hr-HR"/>
    </w:rPr>
  </w:style>
  <w:style w:type="character" w:customStyle="1" w:styleId="Heading2Char">
    <w:name w:val="Heading 2 Char"/>
    <w:basedOn w:val="DefaultParagraphFont"/>
    <w:link w:val="Heading2"/>
    <w:uiPriority w:val="9"/>
    <w:semiHidden/>
    <w:rsid w:val="00710BC8"/>
    <w:rPr>
      <w:rFonts w:asciiTheme="majorHAnsi" w:eastAsiaTheme="majorEastAsia" w:hAnsiTheme="majorHAnsi" w:cstheme="majorBidi"/>
      <w:color w:val="365F91" w:themeColor="accent1" w:themeShade="BF"/>
      <w:sz w:val="26"/>
      <w:szCs w:val="26"/>
    </w:rPr>
  </w:style>
  <w:style w:type="character" w:customStyle="1" w:styleId="lrzxr">
    <w:name w:val="lrzxr"/>
    <w:basedOn w:val="DefaultParagraphFont"/>
    <w:rsid w:val="00710BC8"/>
  </w:style>
  <w:style w:type="paragraph" w:customStyle="1" w:styleId="Style1">
    <w:name w:val="Style1"/>
    <w:basedOn w:val="Normal"/>
    <w:link w:val="Style1Char"/>
    <w:qFormat/>
    <w:rsid w:val="00710BC8"/>
    <w:pPr>
      <w:spacing w:before="100" w:beforeAutospacing="1" w:after="100" w:afterAutospacing="1"/>
      <w:outlineLvl w:val="1"/>
    </w:pPr>
    <w:rPr>
      <w:b/>
      <w:bCs/>
      <w:lang w:eastAsia="bs-Latn-BA"/>
    </w:rPr>
  </w:style>
  <w:style w:type="character" w:customStyle="1" w:styleId="markedcontent">
    <w:name w:val="markedcontent"/>
    <w:rsid w:val="00370D88"/>
  </w:style>
  <w:style w:type="character" w:customStyle="1" w:styleId="Style1Char">
    <w:name w:val="Style1 Char"/>
    <w:basedOn w:val="DefaultParagraphFont"/>
    <w:link w:val="Style1"/>
    <w:rsid w:val="00710BC8"/>
    <w:rPr>
      <w:rFonts w:ascii="Times New Roman" w:eastAsia="Times New Roman" w:hAnsi="Times New Roman" w:cs="Times New Roman"/>
      <w:b/>
      <w:bCs/>
      <w:sz w:val="24"/>
      <w:szCs w:val="24"/>
      <w:lang w:eastAsia="bs-Latn-BA"/>
    </w:rPr>
  </w:style>
  <w:style w:type="character" w:customStyle="1" w:styleId="hwtze">
    <w:name w:val="hwtze"/>
    <w:basedOn w:val="DefaultParagraphFont"/>
    <w:rsid w:val="00D128D9"/>
  </w:style>
  <w:style w:type="character" w:customStyle="1" w:styleId="rynqvb">
    <w:name w:val="rynqvb"/>
    <w:basedOn w:val="DefaultParagraphFont"/>
    <w:rsid w:val="00D128D9"/>
  </w:style>
  <w:style w:type="table" w:customStyle="1" w:styleId="TableGrid1">
    <w:name w:val="Table Grid1"/>
    <w:basedOn w:val="TableNormal"/>
    <w:next w:val="TableGrid"/>
    <w:uiPriority w:val="39"/>
    <w:rsid w:val="00C90A5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5E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6352B"/>
    <w:pPr>
      <w:spacing w:line="360" w:lineRule="auto"/>
      <w:ind w:firstLine="709"/>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36352B"/>
    <w:rPr>
      <w:rFonts w:asciiTheme="majorHAnsi" w:eastAsiaTheme="majorEastAsia" w:hAnsiTheme="majorHAnsi" w:cstheme="majorBidi"/>
      <w:spacing w:val="-10"/>
      <w:kern w:val="28"/>
      <w:sz w:val="56"/>
      <w:szCs w:val="56"/>
      <w:lang w:val="en-GB"/>
    </w:rPr>
  </w:style>
  <w:style w:type="paragraph" w:styleId="TOCHeading">
    <w:name w:val="TOC Heading"/>
    <w:basedOn w:val="Heading1"/>
    <w:next w:val="Normal"/>
    <w:uiPriority w:val="39"/>
    <w:unhideWhenUsed/>
    <w:qFormat/>
    <w:rsid w:val="009A2392"/>
    <w:pPr>
      <w:spacing w:line="259" w:lineRule="auto"/>
      <w:outlineLvl w:val="9"/>
    </w:pPr>
    <w:rPr>
      <w:lang w:val="en-US"/>
    </w:rPr>
  </w:style>
  <w:style w:type="paragraph" w:styleId="TOC1">
    <w:name w:val="toc 1"/>
    <w:basedOn w:val="Normal"/>
    <w:next w:val="Normal"/>
    <w:autoRedefine/>
    <w:uiPriority w:val="39"/>
    <w:unhideWhenUsed/>
    <w:rsid w:val="009A2392"/>
    <w:pPr>
      <w:spacing w:after="100"/>
    </w:pPr>
  </w:style>
  <w:style w:type="character" w:styleId="UnresolvedMention">
    <w:name w:val="Unresolved Mention"/>
    <w:basedOn w:val="DefaultParagraphFont"/>
    <w:uiPriority w:val="99"/>
    <w:semiHidden/>
    <w:unhideWhenUsed/>
    <w:rsid w:val="006661CD"/>
    <w:rPr>
      <w:color w:val="605E5C"/>
      <w:shd w:val="clear" w:color="auto" w:fill="E1DFDD"/>
    </w:rPr>
  </w:style>
  <w:style w:type="paragraph" w:customStyle="1" w:styleId="Style2">
    <w:name w:val="Style2"/>
    <w:basedOn w:val="Normal"/>
    <w:link w:val="Style2Char"/>
    <w:qFormat/>
    <w:rsid w:val="006661CD"/>
    <w:pPr>
      <w:jc w:val="both"/>
    </w:pPr>
  </w:style>
  <w:style w:type="character" w:customStyle="1" w:styleId="Style2Char">
    <w:name w:val="Style2 Char"/>
    <w:basedOn w:val="DefaultParagraphFont"/>
    <w:link w:val="Style2"/>
    <w:rsid w:val="006661C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C2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9173">
      <w:bodyDiv w:val="1"/>
      <w:marLeft w:val="0"/>
      <w:marRight w:val="0"/>
      <w:marTop w:val="0"/>
      <w:marBottom w:val="0"/>
      <w:divBdr>
        <w:top w:val="none" w:sz="0" w:space="0" w:color="auto"/>
        <w:left w:val="none" w:sz="0" w:space="0" w:color="auto"/>
        <w:bottom w:val="none" w:sz="0" w:space="0" w:color="auto"/>
        <w:right w:val="none" w:sz="0" w:space="0" w:color="auto"/>
      </w:divBdr>
    </w:div>
    <w:div w:id="148599028">
      <w:bodyDiv w:val="1"/>
      <w:marLeft w:val="0"/>
      <w:marRight w:val="0"/>
      <w:marTop w:val="0"/>
      <w:marBottom w:val="0"/>
      <w:divBdr>
        <w:top w:val="none" w:sz="0" w:space="0" w:color="auto"/>
        <w:left w:val="none" w:sz="0" w:space="0" w:color="auto"/>
        <w:bottom w:val="none" w:sz="0" w:space="0" w:color="auto"/>
        <w:right w:val="none" w:sz="0" w:space="0" w:color="auto"/>
      </w:divBdr>
    </w:div>
    <w:div w:id="163592197">
      <w:bodyDiv w:val="1"/>
      <w:marLeft w:val="0"/>
      <w:marRight w:val="0"/>
      <w:marTop w:val="0"/>
      <w:marBottom w:val="0"/>
      <w:divBdr>
        <w:top w:val="none" w:sz="0" w:space="0" w:color="auto"/>
        <w:left w:val="none" w:sz="0" w:space="0" w:color="auto"/>
        <w:bottom w:val="none" w:sz="0" w:space="0" w:color="auto"/>
        <w:right w:val="none" w:sz="0" w:space="0" w:color="auto"/>
      </w:divBdr>
    </w:div>
    <w:div w:id="204802085">
      <w:bodyDiv w:val="1"/>
      <w:marLeft w:val="0"/>
      <w:marRight w:val="0"/>
      <w:marTop w:val="0"/>
      <w:marBottom w:val="0"/>
      <w:divBdr>
        <w:top w:val="none" w:sz="0" w:space="0" w:color="auto"/>
        <w:left w:val="none" w:sz="0" w:space="0" w:color="auto"/>
        <w:bottom w:val="none" w:sz="0" w:space="0" w:color="auto"/>
        <w:right w:val="none" w:sz="0" w:space="0" w:color="auto"/>
      </w:divBdr>
    </w:div>
    <w:div w:id="208033597">
      <w:bodyDiv w:val="1"/>
      <w:marLeft w:val="0"/>
      <w:marRight w:val="0"/>
      <w:marTop w:val="0"/>
      <w:marBottom w:val="0"/>
      <w:divBdr>
        <w:top w:val="none" w:sz="0" w:space="0" w:color="auto"/>
        <w:left w:val="none" w:sz="0" w:space="0" w:color="auto"/>
        <w:bottom w:val="none" w:sz="0" w:space="0" w:color="auto"/>
        <w:right w:val="none" w:sz="0" w:space="0" w:color="auto"/>
      </w:divBdr>
    </w:div>
    <w:div w:id="273247075">
      <w:bodyDiv w:val="1"/>
      <w:marLeft w:val="0"/>
      <w:marRight w:val="0"/>
      <w:marTop w:val="0"/>
      <w:marBottom w:val="0"/>
      <w:divBdr>
        <w:top w:val="none" w:sz="0" w:space="0" w:color="auto"/>
        <w:left w:val="none" w:sz="0" w:space="0" w:color="auto"/>
        <w:bottom w:val="none" w:sz="0" w:space="0" w:color="auto"/>
        <w:right w:val="none" w:sz="0" w:space="0" w:color="auto"/>
      </w:divBdr>
    </w:div>
    <w:div w:id="379981839">
      <w:bodyDiv w:val="1"/>
      <w:marLeft w:val="0"/>
      <w:marRight w:val="0"/>
      <w:marTop w:val="0"/>
      <w:marBottom w:val="0"/>
      <w:divBdr>
        <w:top w:val="none" w:sz="0" w:space="0" w:color="auto"/>
        <w:left w:val="none" w:sz="0" w:space="0" w:color="auto"/>
        <w:bottom w:val="none" w:sz="0" w:space="0" w:color="auto"/>
        <w:right w:val="none" w:sz="0" w:space="0" w:color="auto"/>
      </w:divBdr>
    </w:div>
    <w:div w:id="458035998">
      <w:bodyDiv w:val="1"/>
      <w:marLeft w:val="0"/>
      <w:marRight w:val="0"/>
      <w:marTop w:val="0"/>
      <w:marBottom w:val="0"/>
      <w:divBdr>
        <w:top w:val="none" w:sz="0" w:space="0" w:color="auto"/>
        <w:left w:val="none" w:sz="0" w:space="0" w:color="auto"/>
        <w:bottom w:val="none" w:sz="0" w:space="0" w:color="auto"/>
        <w:right w:val="none" w:sz="0" w:space="0" w:color="auto"/>
      </w:divBdr>
    </w:div>
    <w:div w:id="533349311">
      <w:bodyDiv w:val="1"/>
      <w:marLeft w:val="0"/>
      <w:marRight w:val="0"/>
      <w:marTop w:val="0"/>
      <w:marBottom w:val="0"/>
      <w:divBdr>
        <w:top w:val="none" w:sz="0" w:space="0" w:color="auto"/>
        <w:left w:val="none" w:sz="0" w:space="0" w:color="auto"/>
        <w:bottom w:val="none" w:sz="0" w:space="0" w:color="auto"/>
        <w:right w:val="none" w:sz="0" w:space="0" w:color="auto"/>
      </w:divBdr>
    </w:div>
    <w:div w:id="547956341">
      <w:bodyDiv w:val="1"/>
      <w:marLeft w:val="0"/>
      <w:marRight w:val="0"/>
      <w:marTop w:val="0"/>
      <w:marBottom w:val="0"/>
      <w:divBdr>
        <w:top w:val="none" w:sz="0" w:space="0" w:color="auto"/>
        <w:left w:val="none" w:sz="0" w:space="0" w:color="auto"/>
        <w:bottom w:val="none" w:sz="0" w:space="0" w:color="auto"/>
        <w:right w:val="none" w:sz="0" w:space="0" w:color="auto"/>
      </w:divBdr>
    </w:div>
    <w:div w:id="582569456">
      <w:bodyDiv w:val="1"/>
      <w:marLeft w:val="0"/>
      <w:marRight w:val="0"/>
      <w:marTop w:val="0"/>
      <w:marBottom w:val="0"/>
      <w:divBdr>
        <w:top w:val="none" w:sz="0" w:space="0" w:color="auto"/>
        <w:left w:val="none" w:sz="0" w:space="0" w:color="auto"/>
        <w:bottom w:val="none" w:sz="0" w:space="0" w:color="auto"/>
        <w:right w:val="none" w:sz="0" w:space="0" w:color="auto"/>
      </w:divBdr>
    </w:div>
    <w:div w:id="646591332">
      <w:bodyDiv w:val="1"/>
      <w:marLeft w:val="0"/>
      <w:marRight w:val="0"/>
      <w:marTop w:val="0"/>
      <w:marBottom w:val="0"/>
      <w:divBdr>
        <w:top w:val="none" w:sz="0" w:space="0" w:color="auto"/>
        <w:left w:val="none" w:sz="0" w:space="0" w:color="auto"/>
        <w:bottom w:val="none" w:sz="0" w:space="0" w:color="auto"/>
        <w:right w:val="none" w:sz="0" w:space="0" w:color="auto"/>
      </w:divBdr>
    </w:div>
    <w:div w:id="716733775">
      <w:bodyDiv w:val="1"/>
      <w:marLeft w:val="0"/>
      <w:marRight w:val="0"/>
      <w:marTop w:val="0"/>
      <w:marBottom w:val="0"/>
      <w:divBdr>
        <w:top w:val="none" w:sz="0" w:space="0" w:color="auto"/>
        <w:left w:val="none" w:sz="0" w:space="0" w:color="auto"/>
        <w:bottom w:val="none" w:sz="0" w:space="0" w:color="auto"/>
        <w:right w:val="none" w:sz="0" w:space="0" w:color="auto"/>
      </w:divBdr>
    </w:div>
    <w:div w:id="805195120">
      <w:bodyDiv w:val="1"/>
      <w:marLeft w:val="0"/>
      <w:marRight w:val="0"/>
      <w:marTop w:val="0"/>
      <w:marBottom w:val="0"/>
      <w:divBdr>
        <w:top w:val="none" w:sz="0" w:space="0" w:color="auto"/>
        <w:left w:val="none" w:sz="0" w:space="0" w:color="auto"/>
        <w:bottom w:val="none" w:sz="0" w:space="0" w:color="auto"/>
        <w:right w:val="none" w:sz="0" w:space="0" w:color="auto"/>
      </w:divBdr>
      <w:divsChild>
        <w:div w:id="843278191">
          <w:marLeft w:val="0"/>
          <w:marRight w:val="0"/>
          <w:marTop w:val="0"/>
          <w:marBottom w:val="0"/>
          <w:divBdr>
            <w:top w:val="none" w:sz="0" w:space="0" w:color="auto"/>
            <w:left w:val="none" w:sz="0" w:space="0" w:color="auto"/>
            <w:bottom w:val="none" w:sz="0" w:space="0" w:color="auto"/>
            <w:right w:val="none" w:sz="0" w:space="0" w:color="auto"/>
          </w:divBdr>
        </w:div>
      </w:divsChild>
    </w:div>
    <w:div w:id="942760938">
      <w:bodyDiv w:val="1"/>
      <w:marLeft w:val="0"/>
      <w:marRight w:val="0"/>
      <w:marTop w:val="0"/>
      <w:marBottom w:val="0"/>
      <w:divBdr>
        <w:top w:val="none" w:sz="0" w:space="0" w:color="auto"/>
        <w:left w:val="none" w:sz="0" w:space="0" w:color="auto"/>
        <w:bottom w:val="none" w:sz="0" w:space="0" w:color="auto"/>
        <w:right w:val="none" w:sz="0" w:space="0" w:color="auto"/>
      </w:divBdr>
    </w:div>
    <w:div w:id="1025794392">
      <w:bodyDiv w:val="1"/>
      <w:marLeft w:val="0"/>
      <w:marRight w:val="0"/>
      <w:marTop w:val="0"/>
      <w:marBottom w:val="0"/>
      <w:divBdr>
        <w:top w:val="none" w:sz="0" w:space="0" w:color="auto"/>
        <w:left w:val="none" w:sz="0" w:space="0" w:color="auto"/>
        <w:bottom w:val="none" w:sz="0" w:space="0" w:color="auto"/>
        <w:right w:val="none" w:sz="0" w:space="0" w:color="auto"/>
      </w:divBdr>
    </w:div>
    <w:div w:id="1030688079">
      <w:bodyDiv w:val="1"/>
      <w:marLeft w:val="0"/>
      <w:marRight w:val="0"/>
      <w:marTop w:val="0"/>
      <w:marBottom w:val="0"/>
      <w:divBdr>
        <w:top w:val="none" w:sz="0" w:space="0" w:color="auto"/>
        <w:left w:val="none" w:sz="0" w:space="0" w:color="auto"/>
        <w:bottom w:val="none" w:sz="0" w:space="0" w:color="auto"/>
        <w:right w:val="none" w:sz="0" w:space="0" w:color="auto"/>
      </w:divBdr>
    </w:div>
    <w:div w:id="1057626315">
      <w:bodyDiv w:val="1"/>
      <w:marLeft w:val="0"/>
      <w:marRight w:val="0"/>
      <w:marTop w:val="0"/>
      <w:marBottom w:val="0"/>
      <w:divBdr>
        <w:top w:val="none" w:sz="0" w:space="0" w:color="auto"/>
        <w:left w:val="none" w:sz="0" w:space="0" w:color="auto"/>
        <w:bottom w:val="none" w:sz="0" w:space="0" w:color="auto"/>
        <w:right w:val="none" w:sz="0" w:space="0" w:color="auto"/>
      </w:divBdr>
    </w:div>
    <w:div w:id="1080954696">
      <w:bodyDiv w:val="1"/>
      <w:marLeft w:val="0"/>
      <w:marRight w:val="0"/>
      <w:marTop w:val="0"/>
      <w:marBottom w:val="0"/>
      <w:divBdr>
        <w:top w:val="none" w:sz="0" w:space="0" w:color="auto"/>
        <w:left w:val="none" w:sz="0" w:space="0" w:color="auto"/>
        <w:bottom w:val="none" w:sz="0" w:space="0" w:color="auto"/>
        <w:right w:val="none" w:sz="0" w:space="0" w:color="auto"/>
      </w:divBdr>
    </w:div>
    <w:div w:id="1116173637">
      <w:bodyDiv w:val="1"/>
      <w:marLeft w:val="0"/>
      <w:marRight w:val="0"/>
      <w:marTop w:val="0"/>
      <w:marBottom w:val="0"/>
      <w:divBdr>
        <w:top w:val="none" w:sz="0" w:space="0" w:color="auto"/>
        <w:left w:val="none" w:sz="0" w:space="0" w:color="auto"/>
        <w:bottom w:val="none" w:sz="0" w:space="0" w:color="auto"/>
        <w:right w:val="none" w:sz="0" w:space="0" w:color="auto"/>
      </w:divBdr>
    </w:div>
    <w:div w:id="1249728663">
      <w:bodyDiv w:val="1"/>
      <w:marLeft w:val="0"/>
      <w:marRight w:val="0"/>
      <w:marTop w:val="0"/>
      <w:marBottom w:val="0"/>
      <w:divBdr>
        <w:top w:val="none" w:sz="0" w:space="0" w:color="auto"/>
        <w:left w:val="none" w:sz="0" w:space="0" w:color="auto"/>
        <w:bottom w:val="none" w:sz="0" w:space="0" w:color="auto"/>
        <w:right w:val="none" w:sz="0" w:space="0" w:color="auto"/>
      </w:divBdr>
    </w:div>
    <w:div w:id="1261571045">
      <w:bodyDiv w:val="1"/>
      <w:marLeft w:val="0"/>
      <w:marRight w:val="0"/>
      <w:marTop w:val="0"/>
      <w:marBottom w:val="0"/>
      <w:divBdr>
        <w:top w:val="none" w:sz="0" w:space="0" w:color="auto"/>
        <w:left w:val="none" w:sz="0" w:space="0" w:color="auto"/>
        <w:bottom w:val="none" w:sz="0" w:space="0" w:color="auto"/>
        <w:right w:val="none" w:sz="0" w:space="0" w:color="auto"/>
      </w:divBdr>
    </w:div>
    <w:div w:id="1300110712">
      <w:bodyDiv w:val="1"/>
      <w:marLeft w:val="0"/>
      <w:marRight w:val="0"/>
      <w:marTop w:val="0"/>
      <w:marBottom w:val="0"/>
      <w:divBdr>
        <w:top w:val="none" w:sz="0" w:space="0" w:color="auto"/>
        <w:left w:val="none" w:sz="0" w:space="0" w:color="auto"/>
        <w:bottom w:val="none" w:sz="0" w:space="0" w:color="auto"/>
        <w:right w:val="none" w:sz="0" w:space="0" w:color="auto"/>
      </w:divBdr>
    </w:div>
    <w:div w:id="1343580729">
      <w:bodyDiv w:val="1"/>
      <w:marLeft w:val="0"/>
      <w:marRight w:val="0"/>
      <w:marTop w:val="0"/>
      <w:marBottom w:val="0"/>
      <w:divBdr>
        <w:top w:val="none" w:sz="0" w:space="0" w:color="auto"/>
        <w:left w:val="none" w:sz="0" w:space="0" w:color="auto"/>
        <w:bottom w:val="none" w:sz="0" w:space="0" w:color="auto"/>
        <w:right w:val="none" w:sz="0" w:space="0" w:color="auto"/>
      </w:divBdr>
    </w:div>
    <w:div w:id="1350907658">
      <w:bodyDiv w:val="1"/>
      <w:marLeft w:val="0"/>
      <w:marRight w:val="0"/>
      <w:marTop w:val="0"/>
      <w:marBottom w:val="0"/>
      <w:divBdr>
        <w:top w:val="none" w:sz="0" w:space="0" w:color="auto"/>
        <w:left w:val="none" w:sz="0" w:space="0" w:color="auto"/>
        <w:bottom w:val="none" w:sz="0" w:space="0" w:color="auto"/>
        <w:right w:val="none" w:sz="0" w:space="0" w:color="auto"/>
      </w:divBdr>
    </w:div>
    <w:div w:id="1506434759">
      <w:bodyDiv w:val="1"/>
      <w:marLeft w:val="0"/>
      <w:marRight w:val="0"/>
      <w:marTop w:val="0"/>
      <w:marBottom w:val="0"/>
      <w:divBdr>
        <w:top w:val="none" w:sz="0" w:space="0" w:color="auto"/>
        <w:left w:val="none" w:sz="0" w:space="0" w:color="auto"/>
        <w:bottom w:val="none" w:sz="0" w:space="0" w:color="auto"/>
        <w:right w:val="none" w:sz="0" w:space="0" w:color="auto"/>
      </w:divBdr>
    </w:div>
    <w:div w:id="1536499314">
      <w:bodyDiv w:val="1"/>
      <w:marLeft w:val="0"/>
      <w:marRight w:val="0"/>
      <w:marTop w:val="0"/>
      <w:marBottom w:val="0"/>
      <w:divBdr>
        <w:top w:val="none" w:sz="0" w:space="0" w:color="auto"/>
        <w:left w:val="none" w:sz="0" w:space="0" w:color="auto"/>
        <w:bottom w:val="none" w:sz="0" w:space="0" w:color="auto"/>
        <w:right w:val="none" w:sz="0" w:space="0" w:color="auto"/>
      </w:divBdr>
    </w:div>
    <w:div w:id="1604072194">
      <w:bodyDiv w:val="1"/>
      <w:marLeft w:val="0"/>
      <w:marRight w:val="0"/>
      <w:marTop w:val="0"/>
      <w:marBottom w:val="0"/>
      <w:divBdr>
        <w:top w:val="none" w:sz="0" w:space="0" w:color="auto"/>
        <w:left w:val="none" w:sz="0" w:space="0" w:color="auto"/>
        <w:bottom w:val="none" w:sz="0" w:space="0" w:color="auto"/>
        <w:right w:val="none" w:sz="0" w:space="0" w:color="auto"/>
      </w:divBdr>
    </w:div>
    <w:div w:id="1681734795">
      <w:bodyDiv w:val="1"/>
      <w:marLeft w:val="0"/>
      <w:marRight w:val="0"/>
      <w:marTop w:val="0"/>
      <w:marBottom w:val="0"/>
      <w:divBdr>
        <w:top w:val="none" w:sz="0" w:space="0" w:color="auto"/>
        <w:left w:val="none" w:sz="0" w:space="0" w:color="auto"/>
        <w:bottom w:val="none" w:sz="0" w:space="0" w:color="auto"/>
        <w:right w:val="none" w:sz="0" w:space="0" w:color="auto"/>
      </w:divBdr>
    </w:div>
    <w:div w:id="1682705062">
      <w:bodyDiv w:val="1"/>
      <w:marLeft w:val="0"/>
      <w:marRight w:val="0"/>
      <w:marTop w:val="0"/>
      <w:marBottom w:val="0"/>
      <w:divBdr>
        <w:top w:val="none" w:sz="0" w:space="0" w:color="auto"/>
        <w:left w:val="none" w:sz="0" w:space="0" w:color="auto"/>
        <w:bottom w:val="none" w:sz="0" w:space="0" w:color="auto"/>
        <w:right w:val="none" w:sz="0" w:space="0" w:color="auto"/>
      </w:divBdr>
    </w:div>
    <w:div w:id="1684937941">
      <w:bodyDiv w:val="1"/>
      <w:marLeft w:val="0"/>
      <w:marRight w:val="0"/>
      <w:marTop w:val="0"/>
      <w:marBottom w:val="0"/>
      <w:divBdr>
        <w:top w:val="none" w:sz="0" w:space="0" w:color="auto"/>
        <w:left w:val="none" w:sz="0" w:space="0" w:color="auto"/>
        <w:bottom w:val="none" w:sz="0" w:space="0" w:color="auto"/>
        <w:right w:val="none" w:sz="0" w:space="0" w:color="auto"/>
      </w:divBdr>
    </w:div>
    <w:div w:id="1686245570">
      <w:bodyDiv w:val="1"/>
      <w:marLeft w:val="0"/>
      <w:marRight w:val="0"/>
      <w:marTop w:val="0"/>
      <w:marBottom w:val="0"/>
      <w:divBdr>
        <w:top w:val="none" w:sz="0" w:space="0" w:color="auto"/>
        <w:left w:val="none" w:sz="0" w:space="0" w:color="auto"/>
        <w:bottom w:val="none" w:sz="0" w:space="0" w:color="auto"/>
        <w:right w:val="none" w:sz="0" w:space="0" w:color="auto"/>
      </w:divBdr>
    </w:div>
    <w:div w:id="1686981120">
      <w:bodyDiv w:val="1"/>
      <w:marLeft w:val="0"/>
      <w:marRight w:val="0"/>
      <w:marTop w:val="0"/>
      <w:marBottom w:val="0"/>
      <w:divBdr>
        <w:top w:val="none" w:sz="0" w:space="0" w:color="auto"/>
        <w:left w:val="none" w:sz="0" w:space="0" w:color="auto"/>
        <w:bottom w:val="none" w:sz="0" w:space="0" w:color="auto"/>
        <w:right w:val="none" w:sz="0" w:space="0" w:color="auto"/>
      </w:divBdr>
    </w:div>
    <w:div w:id="1721707434">
      <w:bodyDiv w:val="1"/>
      <w:marLeft w:val="0"/>
      <w:marRight w:val="0"/>
      <w:marTop w:val="0"/>
      <w:marBottom w:val="0"/>
      <w:divBdr>
        <w:top w:val="none" w:sz="0" w:space="0" w:color="auto"/>
        <w:left w:val="none" w:sz="0" w:space="0" w:color="auto"/>
        <w:bottom w:val="none" w:sz="0" w:space="0" w:color="auto"/>
        <w:right w:val="none" w:sz="0" w:space="0" w:color="auto"/>
      </w:divBdr>
    </w:div>
    <w:div w:id="1764835385">
      <w:bodyDiv w:val="1"/>
      <w:marLeft w:val="0"/>
      <w:marRight w:val="0"/>
      <w:marTop w:val="0"/>
      <w:marBottom w:val="0"/>
      <w:divBdr>
        <w:top w:val="none" w:sz="0" w:space="0" w:color="auto"/>
        <w:left w:val="none" w:sz="0" w:space="0" w:color="auto"/>
        <w:bottom w:val="none" w:sz="0" w:space="0" w:color="auto"/>
        <w:right w:val="none" w:sz="0" w:space="0" w:color="auto"/>
      </w:divBdr>
    </w:div>
    <w:div w:id="1804155121">
      <w:bodyDiv w:val="1"/>
      <w:marLeft w:val="0"/>
      <w:marRight w:val="0"/>
      <w:marTop w:val="0"/>
      <w:marBottom w:val="0"/>
      <w:divBdr>
        <w:top w:val="none" w:sz="0" w:space="0" w:color="auto"/>
        <w:left w:val="none" w:sz="0" w:space="0" w:color="auto"/>
        <w:bottom w:val="none" w:sz="0" w:space="0" w:color="auto"/>
        <w:right w:val="none" w:sz="0" w:space="0" w:color="auto"/>
      </w:divBdr>
    </w:div>
    <w:div w:id="1840004123">
      <w:bodyDiv w:val="1"/>
      <w:marLeft w:val="0"/>
      <w:marRight w:val="0"/>
      <w:marTop w:val="0"/>
      <w:marBottom w:val="0"/>
      <w:divBdr>
        <w:top w:val="none" w:sz="0" w:space="0" w:color="auto"/>
        <w:left w:val="none" w:sz="0" w:space="0" w:color="auto"/>
        <w:bottom w:val="none" w:sz="0" w:space="0" w:color="auto"/>
        <w:right w:val="none" w:sz="0" w:space="0" w:color="auto"/>
      </w:divBdr>
    </w:div>
    <w:div w:id="1918127520">
      <w:bodyDiv w:val="1"/>
      <w:marLeft w:val="0"/>
      <w:marRight w:val="0"/>
      <w:marTop w:val="0"/>
      <w:marBottom w:val="0"/>
      <w:divBdr>
        <w:top w:val="none" w:sz="0" w:space="0" w:color="auto"/>
        <w:left w:val="none" w:sz="0" w:space="0" w:color="auto"/>
        <w:bottom w:val="none" w:sz="0" w:space="0" w:color="auto"/>
        <w:right w:val="none" w:sz="0" w:space="0" w:color="auto"/>
      </w:divBdr>
    </w:div>
    <w:div w:id="1962766238">
      <w:bodyDiv w:val="1"/>
      <w:marLeft w:val="0"/>
      <w:marRight w:val="0"/>
      <w:marTop w:val="0"/>
      <w:marBottom w:val="0"/>
      <w:divBdr>
        <w:top w:val="none" w:sz="0" w:space="0" w:color="auto"/>
        <w:left w:val="none" w:sz="0" w:space="0" w:color="auto"/>
        <w:bottom w:val="none" w:sz="0" w:space="0" w:color="auto"/>
        <w:right w:val="none" w:sz="0" w:space="0" w:color="auto"/>
      </w:divBdr>
    </w:div>
    <w:div w:id="1974407187">
      <w:bodyDiv w:val="1"/>
      <w:marLeft w:val="0"/>
      <w:marRight w:val="0"/>
      <w:marTop w:val="0"/>
      <w:marBottom w:val="0"/>
      <w:divBdr>
        <w:top w:val="none" w:sz="0" w:space="0" w:color="auto"/>
        <w:left w:val="none" w:sz="0" w:space="0" w:color="auto"/>
        <w:bottom w:val="none" w:sz="0" w:space="0" w:color="auto"/>
        <w:right w:val="none" w:sz="0" w:space="0" w:color="auto"/>
      </w:divBdr>
    </w:div>
    <w:div w:id="1999846414">
      <w:bodyDiv w:val="1"/>
      <w:marLeft w:val="0"/>
      <w:marRight w:val="0"/>
      <w:marTop w:val="0"/>
      <w:marBottom w:val="0"/>
      <w:divBdr>
        <w:top w:val="none" w:sz="0" w:space="0" w:color="auto"/>
        <w:left w:val="none" w:sz="0" w:space="0" w:color="auto"/>
        <w:bottom w:val="none" w:sz="0" w:space="0" w:color="auto"/>
        <w:right w:val="none" w:sz="0" w:space="0" w:color="auto"/>
      </w:divBdr>
    </w:div>
    <w:div w:id="2083866466">
      <w:bodyDiv w:val="1"/>
      <w:marLeft w:val="0"/>
      <w:marRight w:val="0"/>
      <w:marTop w:val="0"/>
      <w:marBottom w:val="0"/>
      <w:divBdr>
        <w:top w:val="none" w:sz="0" w:space="0" w:color="auto"/>
        <w:left w:val="none" w:sz="0" w:space="0" w:color="auto"/>
        <w:bottom w:val="none" w:sz="0" w:space="0" w:color="auto"/>
        <w:right w:val="none" w:sz="0" w:space="0" w:color="auto"/>
      </w:divBdr>
    </w:div>
    <w:div w:id="2086560518">
      <w:bodyDiv w:val="1"/>
      <w:marLeft w:val="0"/>
      <w:marRight w:val="0"/>
      <w:marTop w:val="0"/>
      <w:marBottom w:val="0"/>
      <w:divBdr>
        <w:top w:val="none" w:sz="0" w:space="0" w:color="auto"/>
        <w:left w:val="none" w:sz="0" w:space="0" w:color="auto"/>
        <w:bottom w:val="none" w:sz="0" w:space="0" w:color="auto"/>
        <w:right w:val="none" w:sz="0" w:space="0" w:color="auto"/>
      </w:divBdr>
    </w:div>
    <w:div w:id="21204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c.europa.eu/docsroom/documents/2598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pendnetwork.com/13-trillion-the-global-value-of-public-procur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jn.gov.b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jn.gov.ba/" TargetMode="External"/><Relationship Id="rId14" Type="http://schemas.openxmlformats.org/officeDocument/2006/relationships/image" Target="media/image4.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javnenabavke.ba/" TargetMode="External"/><Relationship Id="rId1" Type="http://schemas.openxmlformats.org/officeDocument/2006/relationships/hyperlink" Target="mailto:kontakt@javnenabavke.b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avnenabavke.ba/" TargetMode="External"/><Relationship Id="rId1" Type="http://schemas.openxmlformats.org/officeDocument/2006/relationships/hyperlink" Target="mailto:kontakt@javnenabavke.b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C-SRV-01\RedirectedFolders\mustafa.serdarevic\My%20Documents\GODISNJI%20IZVJESTAJ%202023\GRAFIKO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94-4AE8-851E-81586BC8334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94-4AE8-851E-81586BC8334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94-4AE8-851E-81586BC8334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94-4AE8-851E-81586BC8334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094-4AE8-851E-81586BC83344}"/>
              </c:ext>
            </c:extLst>
          </c:dPt>
          <c:dLbls>
            <c:dLbl>
              <c:idx val="0"/>
              <c:tx>
                <c:rich>
                  <a:bodyPr/>
                  <a:lstStyle/>
                  <a:p>
                    <a:r>
                      <a:rPr lang="en-US" baseline="0"/>
                      <a:t>Otvoreni postupak</a:t>
                    </a:r>
                  </a:p>
                  <a:p>
                    <a:r>
                      <a:rPr lang="en-US" baseline="0"/>
                      <a:t>3.010.685.272,10
74,98%</a:t>
                    </a:r>
                  </a:p>
                </c:rich>
              </c:tx>
              <c:dLblPos val="outEnd"/>
              <c:showLegendKey val="0"/>
              <c:showVal val="0"/>
              <c:showCatName val="1"/>
              <c:showSerName val="0"/>
              <c:showPercent val="1"/>
              <c:showBubbleSize val="0"/>
              <c:extLst>
                <c:ext xmlns:c15="http://schemas.microsoft.com/office/drawing/2012/chart" uri="{CE6537A1-D6FC-4f65-9D91-7224C49458BB}">
                  <c15:layout>
                    <c:manualLayout>
                      <c:w val="0.1408668647360784"/>
                      <c:h val="0.24240661041506298"/>
                    </c:manualLayout>
                  </c15:layout>
                  <c15:showDataLabelsRange val="0"/>
                </c:ext>
                <c:ext xmlns:c16="http://schemas.microsoft.com/office/drawing/2014/chart" uri="{C3380CC4-5D6E-409C-BE32-E72D297353CC}">
                  <c16:uniqueId val="{00000001-6094-4AE8-851E-81586BC83344}"/>
                </c:ext>
              </c:extLst>
            </c:dLbl>
            <c:dLbl>
              <c:idx val="1"/>
              <c:layout>
                <c:manualLayout>
                  <c:x val="0"/>
                  <c:y val="-0.25117735263685126"/>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D0A4D71B-3491-429C-A6C1-86B63D14C714}"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2,79%</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6522"/>
                        <a:gd name="adj2" fmla="val 159266"/>
                      </a:avLst>
                    </a:prstGeom>
                    <a:noFill/>
                    <a:ln>
                      <a:noFill/>
                    </a:ln>
                  </c15:spPr>
                  <c15:dlblFieldTable/>
                  <c15:showDataLabelsRange val="0"/>
                </c:ext>
                <c:ext xmlns:c16="http://schemas.microsoft.com/office/drawing/2014/chart" uri="{C3380CC4-5D6E-409C-BE32-E72D297353CC}">
                  <c16:uniqueId val="{00000003-6094-4AE8-851E-81586BC83344}"/>
                </c:ext>
              </c:extLst>
            </c:dLbl>
            <c:dLbl>
              <c:idx val="2"/>
              <c:layout>
                <c:manualLayout>
                  <c:x val="0"/>
                  <c:y val="0.44793294553571811"/>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139C9E5F-41DF-4080-9117-509B923BAF6D}"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3,75%</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8635"/>
                        <a:gd name="adj2" fmla="val -227041"/>
                      </a:avLst>
                    </a:prstGeom>
                    <a:noFill/>
                    <a:ln>
                      <a:noFill/>
                    </a:ln>
                  </c15:spPr>
                  <c15:dlblFieldTable/>
                  <c15:showDataLabelsRange val="0"/>
                </c:ext>
                <c:ext xmlns:c16="http://schemas.microsoft.com/office/drawing/2014/chart" uri="{C3380CC4-5D6E-409C-BE32-E72D297353CC}">
                  <c16:uniqueId val="{00000005-6094-4AE8-851E-81586BC83344}"/>
                </c:ext>
              </c:extLst>
            </c:dLbl>
            <c:dLbl>
              <c:idx val="3"/>
              <c:layout>
                <c:manualLayout>
                  <c:x val="0.32499999999999996"/>
                  <c:y val="0.52747244053738773"/>
                </c:manualLayout>
              </c:layout>
              <c:tx>
                <c:rich>
                  <a:bodyPr/>
                  <a:lstStyle/>
                  <a:p>
                    <a:fld id="{44D6655D-3E8B-4A5E-ADD5-EB6C12A36A64}" type="CATEGORYNAME">
                      <a:rPr lang="en-US"/>
                      <a:pPr/>
                      <a:t>[CATEGORY NAME]</a:t>
                    </a:fld>
                    <a:r>
                      <a:rPr lang="en-US" baseline="0"/>
                      <a:t>
7,63%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094-4AE8-851E-81586BC83344}"/>
                </c:ext>
              </c:extLst>
            </c:dLbl>
            <c:dLbl>
              <c:idx val="4"/>
              <c:layout>
                <c:manualLayout>
                  <c:x val="0.51388888888888884"/>
                  <c:y val="0"/>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3D194565-3E88-4D54-9189-EE6A3BC763B6}"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10,85%</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27572"/>
                        <a:gd name="adj2" fmla="val 66605"/>
                      </a:avLst>
                    </a:prstGeom>
                    <a:noFill/>
                    <a:ln>
                      <a:noFill/>
                    </a:ln>
                  </c15:spPr>
                  <c15:dlblFieldTable/>
                  <c15:showDataLabelsRange val="0"/>
                </c:ext>
                <c:ext xmlns:c16="http://schemas.microsoft.com/office/drawing/2014/chart" uri="{C3380CC4-5D6E-409C-BE32-E72D297353CC}">
                  <c16:uniqueId val="{00000009-6094-4AE8-851E-81586BC8334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Sheet3!$H$22:$L$28</c:f>
              <c:multiLvlStrCache>
                <c:ptCount val="5"/>
                <c:lvl>
                  <c:pt idx="0">
                    <c:v>3.010.685.572,10</c:v>
                  </c:pt>
                  <c:pt idx="1">
                    <c:v>111.990.252,26</c:v>
                  </c:pt>
                  <c:pt idx="2">
                    <c:v>150.577.094,16</c:v>
                  </c:pt>
                  <c:pt idx="3">
                    <c:v>306.440.397,12</c:v>
                  </c:pt>
                  <c:pt idx="4">
                    <c:v>435.825.657,00</c:v>
                  </c:pt>
                </c:lvl>
                <c:lvl>
                  <c:pt idx="0">
                    <c:v>Otvoreni postupak</c:v>
                  </c:pt>
                  <c:pt idx="1">
                    <c:v>Ograničeni postupak</c:v>
                  </c:pt>
                  <c:pt idx="2">
                    <c:v>Pregovarački postupak sa objavom obavještenja</c:v>
                  </c:pt>
                  <c:pt idx="3">
                    <c:v>Pregovarački postupak bez objave obavještenja</c:v>
                  </c:pt>
                  <c:pt idx="4">
                    <c:v>Takmičarski dijalog</c:v>
                  </c:pt>
                </c:lvl>
              </c:multiLvlStrCache>
            </c:multiLvlStrRef>
          </c:cat>
          <c:val>
            <c:numRef>
              <c:f>Sheet3!$H$29:$L$29</c:f>
              <c:numCache>
                <c:formatCode>General</c:formatCode>
                <c:ptCount val="5"/>
                <c:pt idx="0">
                  <c:v>74.98</c:v>
                </c:pt>
                <c:pt idx="1">
                  <c:v>2.79</c:v>
                </c:pt>
                <c:pt idx="2">
                  <c:v>3.75</c:v>
                </c:pt>
                <c:pt idx="3">
                  <c:v>7.63</c:v>
                </c:pt>
                <c:pt idx="4">
                  <c:v>10.85</c:v>
                </c:pt>
              </c:numCache>
            </c:numRef>
          </c:val>
          <c:extLst>
            <c:ext xmlns:c16="http://schemas.microsoft.com/office/drawing/2014/chart" uri="{C3380CC4-5D6E-409C-BE32-E72D297353CC}">
              <c16:uniqueId val="{0000000A-6094-4AE8-851E-81586BC83344}"/>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862D-D062-4113-AAB6-52781138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8233</Words>
  <Characters>46931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Dario Kihli</cp:lastModifiedBy>
  <cp:revision>3</cp:revision>
  <cp:lastPrinted>2025-06-18T11:15:00Z</cp:lastPrinted>
  <dcterms:created xsi:type="dcterms:W3CDTF">2025-06-18T10:29:00Z</dcterms:created>
  <dcterms:modified xsi:type="dcterms:W3CDTF">2025-06-18T11:16:00Z</dcterms:modified>
</cp:coreProperties>
</file>