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B71" w:rsidRDefault="00A52B71" w:rsidP="00A52B71">
      <w:bookmarkStart w:id="0" w:name="_GoBack"/>
      <w:bookmarkEnd w:id="0"/>
    </w:p>
    <w:p w:rsidR="004E2542" w:rsidRDefault="004E2542" w:rsidP="00A52B71"/>
    <w:p w:rsidR="004E2542" w:rsidRDefault="004E2542" w:rsidP="00A52B71"/>
    <w:p w:rsidR="004E2542" w:rsidRDefault="004E2542" w:rsidP="00A52B71"/>
    <w:p w:rsidR="004E2542" w:rsidRDefault="004E2542" w:rsidP="00A52B71"/>
    <w:p w:rsidR="004E2542" w:rsidRDefault="004E2542" w:rsidP="00A52B71"/>
    <w:p w:rsidR="004E2542" w:rsidRDefault="004E2542" w:rsidP="00A52B71"/>
    <w:p w:rsidR="00A52B71" w:rsidRDefault="00A52B71" w:rsidP="00A52B71"/>
    <w:p w:rsidR="00A52B71" w:rsidRDefault="00A52B71" w:rsidP="00A52B71"/>
    <w:p w:rsidR="00A52B71" w:rsidRDefault="00A52B71" w:rsidP="00A52B71"/>
    <w:p w:rsidR="00A52B71" w:rsidRDefault="00A52B71" w:rsidP="00A52B71"/>
    <w:p w:rsidR="00161173" w:rsidRDefault="00161173" w:rsidP="00A52B71">
      <w:pPr>
        <w:jc w:val="center"/>
        <w:rPr>
          <w:b/>
          <w:sz w:val="28"/>
          <w:szCs w:val="28"/>
        </w:rPr>
      </w:pPr>
    </w:p>
    <w:p w:rsidR="00161173" w:rsidRDefault="00161173" w:rsidP="00A52B71">
      <w:pPr>
        <w:jc w:val="center"/>
        <w:rPr>
          <w:b/>
          <w:sz w:val="28"/>
          <w:szCs w:val="28"/>
        </w:rPr>
      </w:pPr>
    </w:p>
    <w:p w:rsidR="002B3FA8" w:rsidRDefault="002B3FA8" w:rsidP="00A52B71">
      <w:pPr>
        <w:jc w:val="center"/>
        <w:rPr>
          <w:b/>
          <w:sz w:val="28"/>
          <w:szCs w:val="28"/>
        </w:rPr>
      </w:pPr>
    </w:p>
    <w:p w:rsidR="00A52B71" w:rsidRDefault="00F82FDC" w:rsidP="00A52B71">
      <w:pPr>
        <w:jc w:val="center"/>
        <w:rPr>
          <w:b/>
          <w:sz w:val="24"/>
          <w:szCs w:val="24"/>
        </w:rPr>
      </w:pPr>
      <w:r w:rsidRPr="00F82FDC">
        <w:rPr>
          <w:b/>
          <w:sz w:val="28"/>
          <w:szCs w:val="28"/>
        </w:rPr>
        <w:t>ИЗВЈЕШТАЈ О ПРАЋЕЊУ ПОСТУПАКА ЈАВНИХ НАБАВКИ ЗА 2019.ГОДИНУ</w:t>
      </w:r>
    </w:p>
    <w:p w:rsidR="00A52B71" w:rsidRDefault="00A52B71" w:rsidP="00A52B71">
      <w:pPr>
        <w:jc w:val="center"/>
        <w:rPr>
          <w:b/>
          <w:sz w:val="24"/>
          <w:szCs w:val="24"/>
        </w:rPr>
      </w:pPr>
    </w:p>
    <w:p w:rsidR="00A52B71" w:rsidRDefault="00A52B71" w:rsidP="00A52B71">
      <w:pPr>
        <w:jc w:val="center"/>
        <w:rPr>
          <w:b/>
          <w:sz w:val="24"/>
          <w:szCs w:val="24"/>
        </w:rPr>
      </w:pPr>
    </w:p>
    <w:p w:rsidR="00A52B71" w:rsidRDefault="00A52B71" w:rsidP="00A52B71">
      <w:pPr>
        <w:jc w:val="center"/>
        <w:rPr>
          <w:b/>
          <w:sz w:val="24"/>
          <w:szCs w:val="24"/>
        </w:rPr>
      </w:pPr>
    </w:p>
    <w:p w:rsidR="00A52B71" w:rsidRDefault="00A52B71" w:rsidP="00A52B71">
      <w:pPr>
        <w:jc w:val="center"/>
        <w:rPr>
          <w:b/>
          <w:sz w:val="24"/>
          <w:szCs w:val="24"/>
        </w:rPr>
      </w:pPr>
    </w:p>
    <w:p w:rsidR="00A52B71" w:rsidRDefault="00A52B71" w:rsidP="00A52B71">
      <w:pPr>
        <w:jc w:val="center"/>
        <w:rPr>
          <w:b/>
          <w:sz w:val="24"/>
          <w:szCs w:val="24"/>
        </w:rPr>
      </w:pPr>
    </w:p>
    <w:p w:rsidR="00A52B71" w:rsidRDefault="00A52B71" w:rsidP="00A52B71">
      <w:pPr>
        <w:jc w:val="center"/>
        <w:rPr>
          <w:b/>
          <w:sz w:val="24"/>
          <w:szCs w:val="24"/>
        </w:rPr>
      </w:pPr>
    </w:p>
    <w:p w:rsidR="00A52B71" w:rsidRDefault="00A52B71" w:rsidP="00A52B71">
      <w:pPr>
        <w:jc w:val="center"/>
        <w:rPr>
          <w:b/>
          <w:sz w:val="24"/>
          <w:szCs w:val="24"/>
        </w:rPr>
      </w:pPr>
    </w:p>
    <w:p w:rsidR="00A52B71" w:rsidRDefault="00A52B71" w:rsidP="00A52B71">
      <w:pPr>
        <w:jc w:val="center"/>
        <w:rPr>
          <w:b/>
          <w:sz w:val="24"/>
          <w:szCs w:val="24"/>
        </w:rPr>
      </w:pPr>
    </w:p>
    <w:p w:rsidR="00A52B71" w:rsidRDefault="00A52B71" w:rsidP="00A52B71">
      <w:pPr>
        <w:jc w:val="center"/>
        <w:rPr>
          <w:b/>
          <w:sz w:val="24"/>
          <w:szCs w:val="24"/>
        </w:rPr>
      </w:pPr>
    </w:p>
    <w:p w:rsidR="00FB09C4" w:rsidRDefault="00F82FDC" w:rsidP="00A52B71">
      <w:pPr>
        <w:jc w:val="center"/>
        <w:rPr>
          <w:b/>
          <w:sz w:val="24"/>
          <w:szCs w:val="24"/>
        </w:rPr>
      </w:pPr>
      <w:r w:rsidRPr="00F82FDC">
        <w:rPr>
          <w:b/>
          <w:sz w:val="24"/>
          <w:szCs w:val="24"/>
        </w:rPr>
        <w:t>Мај 2020.године</w:t>
      </w:r>
    </w:p>
    <w:p w:rsidR="00DA68CF" w:rsidRDefault="00DA68CF" w:rsidP="00A52B71">
      <w:pPr>
        <w:jc w:val="center"/>
        <w:rPr>
          <w:b/>
          <w:sz w:val="24"/>
          <w:szCs w:val="24"/>
        </w:rPr>
      </w:pPr>
    </w:p>
    <w:p w:rsidR="00F82FDC" w:rsidRPr="00F82FDC" w:rsidRDefault="00F82FDC" w:rsidP="00F82FDC">
      <w:pPr>
        <w:jc w:val="center"/>
        <w:rPr>
          <w:b/>
          <w:sz w:val="24"/>
          <w:szCs w:val="24"/>
        </w:rPr>
      </w:pPr>
      <w:r w:rsidRPr="00F82FDC">
        <w:rPr>
          <w:b/>
          <w:sz w:val="24"/>
          <w:szCs w:val="24"/>
        </w:rPr>
        <w:lastRenderedPageBreak/>
        <w:t>Садржај</w:t>
      </w:r>
    </w:p>
    <w:p w:rsidR="00F82FDC" w:rsidRPr="00F82FDC" w:rsidRDefault="00F82FDC" w:rsidP="00F82FDC">
      <w:pPr>
        <w:spacing w:after="0"/>
        <w:rPr>
          <w:b/>
          <w:sz w:val="24"/>
          <w:szCs w:val="24"/>
        </w:rPr>
      </w:pPr>
      <w:r w:rsidRPr="00F82FDC">
        <w:rPr>
          <w:b/>
          <w:sz w:val="24"/>
          <w:szCs w:val="24"/>
        </w:rPr>
        <w:t>1.</w:t>
      </w:r>
      <w:r w:rsidRPr="00F82FDC">
        <w:rPr>
          <w:b/>
          <w:sz w:val="24"/>
          <w:szCs w:val="24"/>
        </w:rPr>
        <w:tab/>
        <w:t xml:space="preserve">Увод </w:t>
      </w:r>
    </w:p>
    <w:p w:rsidR="00F82FDC" w:rsidRPr="00F82FDC" w:rsidRDefault="00F82FDC" w:rsidP="00F82FDC">
      <w:pPr>
        <w:spacing w:after="0"/>
        <w:rPr>
          <w:b/>
          <w:sz w:val="24"/>
          <w:szCs w:val="24"/>
        </w:rPr>
      </w:pPr>
      <w:r w:rsidRPr="00F82FDC">
        <w:rPr>
          <w:b/>
          <w:sz w:val="24"/>
          <w:szCs w:val="24"/>
        </w:rPr>
        <w:t>2.</w:t>
      </w:r>
      <w:r w:rsidRPr="00F82FDC">
        <w:rPr>
          <w:b/>
          <w:sz w:val="24"/>
          <w:szCs w:val="24"/>
        </w:rPr>
        <w:tab/>
        <w:t>Правни основ за праћење</w:t>
      </w:r>
    </w:p>
    <w:p w:rsidR="00F82FDC" w:rsidRPr="00F82FDC" w:rsidRDefault="00F82FDC" w:rsidP="00F82FDC">
      <w:pPr>
        <w:spacing w:after="0"/>
        <w:rPr>
          <w:b/>
          <w:sz w:val="24"/>
          <w:szCs w:val="24"/>
        </w:rPr>
      </w:pPr>
      <w:r w:rsidRPr="00F82FDC">
        <w:rPr>
          <w:b/>
          <w:sz w:val="24"/>
          <w:szCs w:val="24"/>
        </w:rPr>
        <w:t>3.</w:t>
      </w:r>
      <w:r w:rsidRPr="00F82FDC">
        <w:rPr>
          <w:b/>
          <w:sz w:val="24"/>
          <w:szCs w:val="24"/>
        </w:rPr>
        <w:tab/>
        <w:t xml:space="preserve">Показатељи праћења поступака јавних набавки </w:t>
      </w:r>
    </w:p>
    <w:p w:rsidR="00F82FDC" w:rsidRPr="00F82FDC" w:rsidRDefault="00F82FDC" w:rsidP="00F82FDC">
      <w:pPr>
        <w:spacing w:after="0"/>
        <w:rPr>
          <w:b/>
          <w:sz w:val="24"/>
          <w:szCs w:val="24"/>
        </w:rPr>
      </w:pPr>
      <w:r w:rsidRPr="00F82FDC">
        <w:rPr>
          <w:b/>
          <w:sz w:val="24"/>
          <w:szCs w:val="24"/>
        </w:rPr>
        <w:t>4.</w:t>
      </w:r>
      <w:r w:rsidRPr="00F82FDC">
        <w:rPr>
          <w:b/>
          <w:sz w:val="24"/>
          <w:szCs w:val="24"/>
        </w:rPr>
        <w:tab/>
        <w:t xml:space="preserve">Преговарачки поступци без објаве обавјештења </w:t>
      </w:r>
    </w:p>
    <w:p w:rsidR="00F82FDC" w:rsidRPr="00F82FDC" w:rsidRDefault="00F82FDC" w:rsidP="00F82FDC">
      <w:pPr>
        <w:spacing w:after="0"/>
        <w:rPr>
          <w:b/>
          <w:sz w:val="24"/>
          <w:szCs w:val="24"/>
        </w:rPr>
      </w:pPr>
      <w:r w:rsidRPr="00F82FDC">
        <w:rPr>
          <w:b/>
          <w:sz w:val="24"/>
          <w:szCs w:val="24"/>
        </w:rPr>
        <w:t>5.</w:t>
      </w:r>
      <w:r w:rsidRPr="00F82FDC">
        <w:rPr>
          <w:b/>
          <w:sz w:val="24"/>
          <w:szCs w:val="24"/>
        </w:rPr>
        <w:tab/>
        <w:t xml:space="preserve">Прекршајни поступци </w:t>
      </w:r>
    </w:p>
    <w:p w:rsidR="00F82FDC" w:rsidRPr="00F82FDC" w:rsidRDefault="00F82FDC" w:rsidP="00F82FDC">
      <w:pPr>
        <w:spacing w:after="0"/>
        <w:rPr>
          <w:b/>
          <w:sz w:val="24"/>
          <w:szCs w:val="24"/>
        </w:rPr>
      </w:pPr>
      <w:r w:rsidRPr="00F82FDC">
        <w:rPr>
          <w:b/>
          <w:sz w:val="24"/>
          <w:szCs w:val="24"/>
        </w:rPr>
        <w:t>6.</w:t>
      </w:r>
      <w:r w:rsidRPr="00F82FDC">
        <w:rPr>
          <w:b/>
          <w:sz w:val="24"/>
          <w:szCs w:val="24"/>
        </w:rPr>
        <w:tab/>
        <w:t>Праћење планирања и припреме поступака јавних набавки</w:t>
      </w:r>
    </w:p>
    <w:p w:rsidR="00F82FDC" w:rsidRPr="00F82FDC" w:rsidRDefault="00F82FDC" w:rsidP="00F82FDC">
      <w:pPr>
        <w:spacing w:after="0"/>
        <w:rPr>
          <w:b/>
          <w:sz w:val="24"/>
          <w:szCs w:val="24"/>
        </w:rPr>
      </w:pPr>
      <w:r w:rsidRPr="00F82FDC">
        <w:rPr>
          <w:b/>
          <w:sz w:val="24"/>
          <w:szCs w:val="24"/>
        </w:rPr>
        <w:t>7.</w:t>
      </w:r>
      <w:r w:rsidRPr="00F82FDC">
        <w:rPr>
          <w:b/>
          <w:sz w:val="24"/>
          <w:szCs w:val="24"/>
        </w:rPr>
        <w:tab/>
        <w:t xml:space="preserve">Извјештаји </w:t>
      </w:r>
      <w:r w:rsidR="00F36FB6">
        <w:rPr>
          <w:b/>
          <w:sz w:val="24"/>
          <w:szCs w:val="24"/>
          <w:lang w:val="sr-Cyrl-BA"/>
        </w:rPr>
        <w:t>канцеларија</w:t>
      </w:r>
      <w:r w:rsidRPr="00F82FDC">
        <w:rPr>
          <w:b/>
          <w:sz w:val="24"/>
          <w:szCs w:val="24"/>
        </w:rPr>
        <w:t xml:space="preserve"> за ревизију у БиХ</w:t>
      </w:r>
    </w:p>
    <w:p w:rsidR="00CB5FF0" w:rsidRPr="00CB5FF0" w:rsidRDefault="00F82FDC" w:rsidP="00F82FDC">
      <w:pPr>
        <w:spacing w:after="0"/>
        <w:rPr>
          <w:b/>
          <w:sz w:val="24"/>
          <w:szCs w:val="24"/>
        </w:rPr>
      </w:pPr>
      <w:r w:rsidRPr="00F82FDC">
        <w:rPr>
          <w:b/>
          <w:sz w:val="24"/>
          <w:szCs w:val="24"/>
        </w:rPr>
        <w:t>8.</w:t>
      </w:r>
      <w:r w:rsidRPr="00F82FDC">
        <w:rPr>
          <w:b/>
          <w:sz w:val="24"/>
          <w:szCs w:val="24"/>
        </w:rPr>
        <w:tab/>
        <w:t>Анекси</w:t>
      </w:r>
    </w:p>
    <w:p w:rsidR="00FB09C4" w:rsidRDefault="00FB09C4"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F82FDC" w:rsidRDefault="00F82FDC" w:rsidP="00CB5FF0">
      <w:pPr>
        <w:rPr>
          <w:b/>
          <w:sz w:val="24"/>
          <w:szCs w:val="24"/>
        </w:rPr>
      </w:pPr>
    </w:p>
    <w:p w:rsidR="00F82FDC" w:rsidRDefault="00F82FDC" w:rsidP="00CB5FF0">
      <w:pPr>
        <w:rPr>
          <w:b/>
          <w:sz w:val="24"/>
          <w:szCs w:val="24"/>
        </w:rPr>
      </w:pPr>
    </w:p>
    <w:p w:rsidR="00F82FDC" w:rsidRDefault="00F82FDC" w:rsidP="00CB5FF0">
      <w:pPr>
        <w:rPr>
          <w:b/>
          <w:sz w:val="24"/>
          <w:szCs w:val="24"/>
        </w:rPr>
      </w:pPr>
    </w:p>
    <w:p w:rsidR="007F48A2" w:rsidRDefault="007F48A2" w:rsidP="00CB5FF0">
      <w:pPr>
        <w:rPr>
          <w:b/>
          <w:sz w:val="24"/>
          <w:szCs w:val="24"/>
        </w:rPr>
      </w:pPr>
    </w:p>
    <w:p w:rsidR="007F48A2" w:rsidRDefault="007F48A2" w:rsidP="00CB5FF0">
      <w:pPr>
        <w:rPr>
          <w:b/>
          <w:sz w:val="24"/>
          <w:szCs w:val="24"/>
        </w:rPr>
      </w:pPr>
    </w:p>
    <w:p w:rsidR="001A4588" w:rsidRPr="0035194A" w:rsidRDefault="00F82FDC" w:rsidP="00E55DBF">
      <w:pPr>
        <w:pStyle w:val="ListParagraph"/>
        <w:numPr>
          <w:ilvl w:val="0"/>
          <w:numId w:val="2"/>
        </w:numPr>
        <w:rPr>
          <w:b/>
          <w:sz w:val="24"/>
          <w:szCs w:val="24"/>
        </w:rPr>
      </w:pPr>
      <w:r>
        <w:rPr>
          <w:b/>
          <w:sz w:val="24"/>
          <w:szCs w:val="24"/>
          <w:lang w:val="sr-Cyrl-BA"/>
        </w:rPr>
        <w:lastRenderedPageBreak/>
        <w:t>УВОД</w:t>
      </w:r>
    </w:p>
    <w:p w:rsidR="00F82FDC" w:rsidRDefault="00F82FDC" w:rsidP="00F82FDC">
      <w:pPr>
        <w:spacing w:after="0" w:line="240" w:lineRule="auto"/>
        <w:jc w:val="both"/>
      </w:pPr>
      <w:r>
        <w:t xml:space="preserve">Праћење поступака јавних набавки је један од показатеља фукционисања цјелокупног система, не само са аспекта примјене процедура јавних набавки, већ цјелокупног система, који </w:t>
      </w:r>
      <w:r w:rsidR="00F36FB6">
        <w:rPr>
          <w:lang w:val="sr-Cyrl-BA"/>
        </w:rPr>
        <w:t>зависи</w:t>
      </w:r>
      <w:r>
        <w:t xml:space="preserve">  од низа других прописа и дирекно или индиректно имају </w:t>
      </w:r>
      <w:r w:rsidR="00F36FB6">
        <w:rPr>
          <w:lang w:val="sr-Cyrl-BA"/>
        </w:rPr>
        <w:t>утицај</w:t>
      </w:r>
      <w:r>
        <w:t xml:space="preserve"> на систем јавних набавки у Босни и Х</w:t>
      </w:r>
      <w:r w:rsidR="00F36FB6">
        <w:rPr>
          <w:lang w:val="sr-Cyrl-BA"/>
        </w:rPr>
        <w:t>е</w:t>
      </w:r>
      <w:r>
        <w:t>рцеговини.</w:t>
      </w:r>
    </w:p>
    <w:p w:rsidR="00F82FDC" w:rsidRDefault="00F82FDC" w:rsidP="00F82FDC">
      <w:pPr>
        <w:spacing w:after="0" w:line="240" w:lineRule="auto"/>
        <w:jc w:val="both"/>
      </w:pPr>
    </w:p>
    <w:p w:rsidR="00F82FDC" w:rsidRDefault="00F82FDC" w:rsidP="00F82FDC">
      <w:pPr>
        <w:spacing w:after="0" w:line="240" w:lineRule="auto"/>
        <w:jc w:val="both"/>
      </w:pPr>
      <w:r>
        <w:t xml:space="preserve">Јавне набавке, као високо </w:t>
      </w:r>
      <w:r w:rsidR="00F36FB6">
        <w:rPr>
          <w:lang w:val="sr-Cyrl-BA"/>
        </w:rPr>
        <w:t>децентрализовани</w:t>
      </w:r>
      <w:r>
        <w:t xml:space="preserve"> систем је одговорност „делегирао“ на уговорне органе који су обавезни примјењивати прописе о јавним набавкама. Управо тај високи степен </w:t>
      </w:r>
      <w:r w:rsidR="00F36FB6">
        <w:rPr>
          <w:lang w:val="sr-Cyrl-BA"/>
        </w:rPr>
        <w:t>децентрализације</w:t>
      </w:r>
      <w:r>
        <w:t xml:space="preserve"> система указује на сложеност праћења истог посебно с аспекта </w:t>
      </w:r>
      <w:r w:rsidR="00F36FB6">
        <w:rPr>
          <w:lang w:val="sr-Cyrl-BA"/>
        </w:rPr>
        <w:t>утицаја</w:t>
      </w:r>
      <w:r>
        <w:t xml:space="preserve"> других прописа на систем јавних набавки.</w:t>
      </w:r>
    </w:p>
    <w:p w:rsidR="00F82FDC" w:rsidRDefault="00F82FDC" w:rsidP="00F82FDC">
      <w:pPr>
        <w:spacing w:after="0" w:line="240" w:lineRule="auto"/>
        <w:jc w:val="both"/>
      </w:pPr>
    </w:p>
    <w:p w:rsidR="00F82FDC" w:rsidRDefault="00F82FDC" w:rsidP="00F82FDC">
      <w:pPr>
        <w:spacing w:after="0" w:line="240" w:lineRule="auto"/>
        <w:jc w:val="both"/>
      </w:pPr>
      <w:r>
        <w:t xml:space="preserve">„Праћење (мониторинг) јавних набавки је свако систематско посматрање система јавних набавки, које се проводи на један кохерентан начин у циљу процјењивања како систем </w:t>
      </w:r>
      <w:r w:rsidR="00F36FB6">
        <w:rPr>
          <w:lang w:val="sr-Cyrl-BA"/>
        </w:rPr>
        <w:t>функционише</w:t>
      </w:r>
      <w:r>
        <w:t xml:space="preserve"> и како се развија током времена, да би се установило да ли је постигнуто жељено (циљно) ст</w:t>
      </w:r>
      <w:r>
        <w:rPr>
          <w:lang w:val="sr-Cyrl-BA"/>
        </w:rPr>
        <w:t>а</w:t>
      </w:r>
      <w:r>
        <w:t xml:space="preserve">ње које су </w:t>
      </w:r>
      <w:r>
        <w:rPr>
          <w:lang w:val="sr-Cyrl-BA"/>
        </w:rPr>
        <w:t>дефинисали</w:t>
      </w:r>
      <w:r>
        <w:t xml:space="preserve"> креатори политика.“ </w:t>
      </w:r>
    </w:p>
    <w:p w:rsidR="00F82FDC" w:rsidRDefault="00F82FDC" w:rsidP="00F82FDC">
      <w:pPr>
        <w:spacing w:after="0" w:line="240" w:lineRule="auto"/>
        <w:jc w:val="both"/>
      </w:pPr>
    </w:p>
    <w:p w:rsidR="00F82FDC" w:rsidRDefault="00F82FDC" w:rsidP="00F82FDC">
      <w:pPr>
        <w:spacing w:after="0" w:line="240" w:lineRule="auto"/>
        <w:jc w:val="both"/>
      </w:pPr>
      <w:r>
        <w:t xml:space="preserve">Управо из дефиниције коју је дала СИГМА произилази и основни циљ праћења система јавних набавки, а то је да се кроз праћење изврши увид у проблеме које систем има, лошу праксу у примјени прописа, као и злоупотребе које се дешавају у систему, и које треба </w:t>
      </w:r>
      <w:r w:rsidR="00F36FB6">
        <w:rPr>
          <w:lang w:val="sr-Cyrl-BA"/>
        </w:rPr>
        <w:t>кориговати</w:t>
      </w:r>
      <w:r>
        <w:t xml:space="preserve">, односно иницирати развијање политика, те </w:t>
      </w:r>
      <w:r w:rsidR="00F36FB6">
        <w:rPr>
          <w:lang w:val="sr-Cyrl-BA"/>
        </w:rPr>
        <w:t>дефинисати</w:t>
      </w:r>
      <w:r>
        <w:t xml:space="preserve"> циљеве који ће ићи у правцу основног принципа „вриједност за новац“. </w:t>
      </w:r>
    </w:p>
    <w:p w:rsidR="00F82FDC" w:rsidRDefault="00F82FDC" w:rsidP="00F82FDC">
      <w:pPr>
        <w:spacing w:after="0" w:line="240" w:lineRule="auto"/>
        <w:jc w:val="both"/>
      </w:pPr>
    </w:p>
    <w:p w:rsidR="00F82FDC" w:rsidRDefault="00F82FDC" w:rsidP="00F82FDC">
      <w:pPr>
        <w:spacing w:after="0" w:line="240" w:lineRule="auto"/>
        <w:jc w:val="both"/>
      </w:pPr>
      <w:r>
        <w:t>У дефинисању политика система јавних набавки, битно је направити разлику</w:t>
      </w:r>
      <w:r w:rsidR="00F36FB6">
        <w:t xml:space="preserve"> између „праћења“ система и „надзора“. Јер надз</w:t>
      </w:r>
      <w:r>
        <w:t xml:space="preserve">ор може пружити одређене информације , али сам по себи не може утврдити да ли су циљеви испуњени и да ли су стандарди остварени. </w:t>
      </w:r>
    </w:p>
    <w:p w:rsidR="00E55DBF" w:rsidRPr="00335CF5" w:rsidRDefault="00E55DBF" w:rsidP="00B00D9E">
      <w:pPr>
        <w:spacing w:after="0" w:line="240" w:lineRule="auto"/>
        <w:jc w:val="both"/>
      </w:pPr>
    </w:p>
    <w:p w:rsidR="005B1758" w:rsidRPr="00F82FDC" w:rsidRDefault="00F82FDC" w:rsidP="009A60C0">
      <w:pPr>
        <w:pStyle w:val="ListParagraph"/>
        <w:numPr>
          <w:ilvl w:val="0"/>
          <w:numId w:val="2"/>
        </w:numPr>
        <w:spacing w:after="0" w:line="240" w:lineRule="auto"/>
        <w:jc w:val="both"/>
        <w:rPr>
          <w:b/>
        </w:rPr>
      </w:pPr>
      <w:r w:rsidRPr="00F82FDC">
        <w:rPr>
          <w:b/>
          <w:sz w:val="24"/>
          <w:szCs w:val="24"/>
          <w:lang w:val="sr-Cyrl-BA"/>
        </w:rPr>
        <w:t xml:space="preserve">Праћење система јавних набавки </w:t>
      </w:r>
    </w:p>
    <w:p w:rsidR="00F82FDC" w:rsidRPr="00F82FDC" w:rsidRDefault="00F82FDC" w:rsidP="00F82FDC">
      <w:pPr>
        <w:pStyle w:val="ListParagraph"/>
        <w:spacing w:after="0" w:line="240" w:lineRule="auto"/>
        <w:jc w:val="both"/>
        <w:rPr>
          <w:b/>
        </w:rPr>
      </w:pPr>
    </w:p>
    <w:p w:rsidR="00F82FDC" w:rsidRDefault="00F82FDC" w:rsidP="00F82FDC">
      <w:pPr>
        <w:spacing w:after="0" w:line="240" w:lineRule="auto"/>
        <w:jc w:val="both"/>
      </w:pPr>
      <w:r>
        <w:t xml:space="preserve">Праћење поступака јавних набавки је један од показатеља фукционисања цјелокупног система, не само са аспекта примјене процедура јавних набавки, већ цјелокупног система, који </w:t>
      </w:r>
      <w:r w:rsidR="00F36FB6">
        <w:rPr>
          <w:lang w:val="sr-Cyrl-BA"/>
        </w:rPr>
        <w:t>зависи</w:t>
      </w:r>
      <w:r>
        <w:t xml:space="preserve">  од низа других прописа и дирекно или индиректно имају </w:t>
      </w:r>
      <w:r w:rsidR="00F36FB6">
        <w:rPr>
          <w:lang w:val="sr-Cyrl-BA"/>
        </w:rPr>
        <w:t>утицај</w:t>
      </w:r>
      <w:r>
        <w:t xml:space="preserve"> на систем јавних набавки у Босни и Хрцеговини.</w:t>
      </w:r>
    </w:p>
    <w:p w:rsidR="00F82FDC" w:rsidRDefault="00F82FDC" w:rsidP="00F82FDC">
      <w:pPr>
        <w:spacing w:after="0" w:line="240" w:lineRule="auto"/>
        <w:jc w:val="both"/>
      </w:pPr>
    </w:p>
    <w:p w:rsidR="00F82FDC" w:rsidRDefault="00F82FDC" w:rsidP="00F82FDC">
      <w:pPr>
        <w:spacing w:after="0" w:line="240" w:lineRule="auto"/>
        <w:jc w:val="both"/>
      </w:pPr>
      <w:r>
        <w:t>Праћење система јавних набавки у Босни и Херцеговини је усаглашено са чланом 83. Директиве ЕУ број 2014/24</w:t>
      </w:r>
      <w:r w:rsidR="00F36FB6">
        <w:t>, којим је дефинисан систем надзо</w:t>
      </w:r>
      <w:r>
        <w:t>ра држава чланица.</w:t>
      </w:r>
    </w:p>
    <w:p w:rsidR="00F82FDC" w:rsidRDefault="00F82FDC" w:rsidP="00F82FDC">
      <w:pPr>
        <w:spacing w:after="0" w:line="240" w:lineRule="auto"/>
        <w:jc w:val="both"/>
      </w:pPr>
    </w:p>
    <w:p w:rsidR="00F82FDC" w:rsidRDefault="00F82FDC" w:rsidP="00F82FDC">
      <w:pPr>
        <w:spacing w:after="0" w:line="240" w:lineRule="auto"/>
        <w:jc w:val="both"/>
      </w:pPr>
      <w:r>
        <w:t>У складу са чланом 92. став (3) тачка е) Закона о јавним набавкама (''Службени гласник БиХ'', број: 39/14), (у даљем тексту: Закон), надлежност Агенције за јавне набавке БиХ (у даљем тексту: Агенција) је успостављање система за праћење поступака којег проводе уговорни органи за набавку робе, услуга и радова, с циљем едукације и отклањања уочених неправилности у појединачним поступцима јавних набавки. Примјеном Правилника о праћењу поступака јавне набавке („Службени гласник БиХ“, број: 72/16), сист</w:t>
      </w:r>
      <w:r w:rsidR="00F36FB6">
        <w:t>ем праћења примјене Закона и подз</w:t>
      </w:r>
      <w:r>
        <w:t xml:space="preserve">аконских аката у Босни и Херцеговини  је испитивање усклађености појединачних поступака јавне набавке које проводе уговорни органи. </w:t>
      </w:r>
    </w:p>
    <w:p w:rsidR="00F82FDC" w:rsidRDefault="00F82FDC" w:rsidP="00F82FDC">
      <w:pPr>
        <w:spacing w:after="0" w:line="240" w:lineRule="auto"/>
        <w:jc w:val="both"/>
      </w:pPr>
    </w:p>
    <w:p w:rsidR="00F82FDC" w:rsidRDefault="00F82FDC" w:rsidP="00F82FDC">
      <w:pPr>
        <w:spacing w:after="0" w:line="240" w:lineRule="auto"/>
        <w:jc w:val="both"/>
      </w:pPr>
      <w:r>
        <w:t>Основи циљ праћења поступака јавних набавки, као методе и поступака који се примјењују, је откривање и откла</w:t>
      </w:r>
      <w:r w:rsidR="00F36FB6">
        <w:t>њање кршења одредби Закона и подз</w:t>
      </w:r>
      <w:r>
        <w:t xml:space="preserve">аконских аката. У овај процес, заједно са Агенцијом за јавне набавке су укључени и </w:t>
      </w:r>
      <w:r w:rsidR="00F36FB6">
        <w:rPr>
          <w:lang w:val="sr-Cyrl-BA"/>
        </w:rPr>
        <w:t>канцеларије</w:t>
      </w:r>
      <w:r>
        <w:t xml:space="preserve"> за ревизију на свим нивоима власти у Босни и Х</w:t>
      </w:r>
      <w:r w:rsidR="00F36FB6">
        <w:t>ерцеговини, који кроз своје</w:t>
      </w:r>
      <w:r>
        <w:t xml:space="preserve"> </w:t>
      </w:r>
      <w:r w:rsidR="00F36FB6">
        <w:rPr>
          <w:lang w:val="sr-Cyrl-BA"/>
        </w:rPr>
        <w:t>извјештаје</w:t>
      </w:r>
      <w:r>
        <w:t xml:space="preserve"> указују на уочене неусклађености процедура о јавним набавкама. </w:t>
      </w:r>
    </w:p>
    <w:p w:rsidR="00F82FDC" w:rsidRDefault="00F82FDC" w:rsidP="00F82FDC">
      <w:pPr>
        <w:spacing w:after="0" w:line="240" w:lineRule="auto"/>
        <w:jc w:val="both"/>
      </w:pPr>
    </w:p>
    <w:p w:rsidR="00F82FDC" w:rsidRDefault="00F82FDC" w:rsidP="00F82FDC">
      <w:pPr>
        <w:spacing w:after="0" w:line="240" w:lineRule="auto"/>
        <w:jc w:val="both"/>
      </w:pPr>
      <w:r>
        <w:lastRenderedPageBreak/>
        <w:t>Праћења која проводи Агенција за јавне набавке су базирана на откривању и проналажењу поступања уговор</w:t>
      </w:r>
      <w:r w:rsidR="00F36FB6">
        <w:t>них органа супротно закону и подз</w:t>
      </w:r>
      <w:r>
        <w:t>аконским актима, превасходно у ц</w:t>
      </w:r>
      <w:r w:rsidR="00F36FB6">
        <w:t>иљу превентивног и едукативног дј</w:t>
      </w:r>
      <w:r>
        <w:t xml:space="preserve">еловања. У случају непоступања уговорног органа по указивању на пропуст или кршење које је уочено кроз систем праћења, Агенција има </w:t>
      </w:r>
      <w:r w:rsidR="00F36FB6">
        <w:rPr>
          <w:lang w:val="sr-Cyrl-BA"/>
        </w:rPr>
        <w:t>овлаштења</w:t>
      </w:r>
      <w:r>
        <w:t xml:space="preserve"> и поднијети прекршајну пријаву. </w:t>
      </w:r>
    </w:p>
    <w:p w:rsidR="00F82FDC" w:rsidRDefault="00F82FDC" w:rsidP="00F82FDC">
      <w:pPr>
        <w:spacing w:after="0" w:line="240" w:lineRule="auto"/>
        <w:jc w:val="both"/>
      </w:pPr>
    </w:p>
    <w:p w:rsidR="00290DBE" w:rsidRDefault="00F82FDC" w:rsidP="00F82FDC">
      <w:pPr>
        <w:spacing w:after="0" w:line="240" w:lineRule="auto"/>
        <w:jc w:val="both"/>
      </w:pPr>
      <w:r>
        <w:t xml:space="preserve">Посебни аспекти праћења у 2019. години, </w:t>
      </w:r>
      <w:r w:rsidR="00F36FB6">
        <w:rPr>
          <w:lang w:val="sr-Cyrl-BA"/>
        </w:rPr>
        <w:t>засновали</w:t>
      </w:r>
      <w:r>
        <w:t xml:space="preserve"> су се на критериј</w:t>
      </w:r>
      <w:r w:rsidR="00F36FB6">
        <w:rPr>
          <w:lang w:val="sr-Cyrl-BA"/>
        </w:rPr>
        <w:t>ум</w:t>
      </w:r>
      <w:r>
        <w:t xml:space="preserve">има праћења, исти су усмјерени на тежину неправилности, набавке велике вриједности и фазу у којој је неправилност уочена. Међутим, увођењем новог информационог система, као и нових алата у оквиру система, направљен је значајан искорак у дијелу </w:t>
      </w:r>
      <w:r w:rsidR="00F36FB6">
        <w:rPr>
          <w:lang w:val="sr-Cyrl-BA"/>
        </w:rPr>
        <w:t>превенције</w:t>
      </w:r>
      <w:r>
        <w:t xml:space="preserve"> „грешака“ од стране уговорних органа, путем увођења посебних валидација. То је посебно дошло до изражаја код обавјештења о набавци. Стога је овај извор праћења изгубио сврху, јер је у протеклом извјештајном периоду било врло тешко пронаћи грешку која представља повреду Закона или поџаконског акта.</w:t>
      </w:r>
    </w:p>
    <w:p w:rsidR="00F82FDC" w:rsidRPr="00335CF5" w:rsidRDefault="00F82FDC" w:rsidP="00F82FDC">
      <w:pPr>
        <w:spacing w:after="0" w:line="240" w:lineRule="auto"/>
        <w:jc w:val="both"/>
      </w:pPr>
    </w:p>
    <w:p w:rsidR="00F82FDC" w:rsidRPr="00F82FDC" w:rsidRDefault="00F82FDC" w:rsidP="00F82FDC">
      <w:pPr>
        <w:spacing w:after="0" w:line="240" w:lineRule="auto"/>
        <w:jc w:val="both"/>
        <w:rPr>
          <w:rFonts w:cs="Times New Roman"/>
          <w:color w:val="000000"/>
          <w:lang w:val="hr-HR" w:eastAsia="bs-Latn-BA"/>
        </w:rPr>
      </w:pPr>
      <w:r w:rsidRPr="00F82FDC">
        <w:rPr>
          <w:rFonts w:cs="Times New Roman"/>
          <w:color w:val="000000"/>
          <w:lang w:val="hr-HR" w:eastAsia="bs-Latn-BA"/>
        </w:rPr>
        <w:t xml:space="preserve">У току 2019. године, поред праћења према изворима за праћење, посебан фокус праћења био је на програмском праћењу преговарачких поступака без објаве обавјештења, које ће се проводити у периоду 2020-2022. година, те је дат осврт на показатеље преговарачког поступка без објаве обавјештења у 2019. години. Подаци за 2019. годину ће бити полазни показатељи у односу на које ће се поредити године које су обухваћене програмским праћењем.  </w:t>
      </w:r>
    </w:p>
    <w:p w:rsidR="00F82FDC" w:rsidRPr="00F82FDC" w:rsidRDefault="00F82FDC" w:rsidP="00F82FDC">
      <w:pPr>
        <w:spacing w:after="0" w:line="240" w:lineRule="auto"/>
        <w:jc w:val="both"/>
        <w:rPr>
          <w:rFonts w:cs="Times New Roman"/>
          <w:color w:val="000000"/>
          <w:lang w:val="hr-HR" w:eastAsia="bs-Latn-BA"/>
        </w:rPr>
      </w:pPr>
    </w:p>
    <w:p w:rsidR="00F82FDC" w:rsidRPr="00F82FDC" w:rsidRDefault="00F82FDC" w:rsidP="00F82FDC">
      <w:pPr>
        <w:spacing w:after="0" w:line="240" w:lineRule="auto"/>
        <w:jc w:val="both"/>
        <w:rPr>
          <w:rFonts w:cs="Times New Roman"/>
          <w:color w:val="000000"/>
          <w:lang w:val="hr-HR" w:eastAsia="bs-Latn-BA"/>
        </w:rPr>
      </w:pPr>
      <w:r w:rsidRPr="00F82FDC">
        <w:rPr>
          <w:rFonts w:cs="Times New Roman"/>
          <w:color w:val="000000"/>
          <w:lang w:val="hr-HR" w:eastAsia="bs-Latn-BA"/>
        </w:rPr>
        <w:t xml:space="preserve">У 2019. години, Агенција је као резултат праћења, подносила захтјеве за покретање прекршајних поступака, а што је једна од надлежности дефинисана чланом 116. став (1) Закона. Прекршајни поступци које је покретала и водила Агенција за јавне набавке указали су на потребу за едукацијом кадрова у области јавних набавки, неопходну сарадњу и размјену искустава са судовима у Босни и Херцеговини, као и  кадровско јачање Агенције у овом сегменту. </w:t>
      </w:r>
    </w:p>
    <w:p w:rsidR="00F82FDC" w:rsidRPr="00F82FDC" w:rsidRDefault="00F82FDC" w:rsidP="00F82FDC">
      <w:pPr>
        <w:spacing w:after="0" w:line="240" w:lineRule="auto"/>
        <w:jc w:val="both"/>
        <w:rPr>
          <w:rFonts w:cs="Times New Roman"/>
          <w:color w:val="000000"/>
          <w:lang w:val="hr-HR" w:eastAsia="bs-Latn-BA"/>
        </w:rPr>
      </w:pPr>
    </w:p>
    <w:p w:rsidR="00F82FDC" w:rsidRPr="00F82FDC" w:rsidRDefault="00F82FDC" w:rsidP="00F82FDC">
      <w:pPr>
        <w:spacing w:after="0" w:line="240" w:lineRule="auto"/>
        <w:jc w:val="both"/>
        <w:rPr>
          <w:rFonts w:cs="Times New Roman"/>
          <w:color w:val="000000"/>
          <w:lang w:val="hr-HR" w:eastAsia="bs-Latn-BA"/>
        </w:rPr>
      </w:pPr>
      <w:r w:rsidRPr="00F82FDC">
        <w:rPr>
          <w:rFonts w:cs="Times New Roman"/>
          <w:color w:val="000000"/>
          <w:lang w:val="hr-HR" w:eastAsia="bs-Latn-BA"/>
        </w:rPr>
        <w:t xml:space="preserve">Планирање и реализација уговора су у протеклом периоду показали се као значајна слабост уговорних органа из више разлога, те у овом извјештају ћемо </w:t>
      </w:r>
      <w:r w:rsidR="00F36FB6">
        <w:rPr>
          <w:rFonts w:cs="Times New Roman"/>
          <w:color w:val="000000"/>
          <w:lang w:val="sr-Cyrl-BA" w:eastAsia="bs-Latn-BA"/>
        </w:rPr>
        <w:t>презентовати</w:t>
      </w:r>
      <w:r w:rsidRPr="00F82FDC">
        <w:rPr>
          <w:rFonts w:cs="Times New Roman"/>
          <w:color w:val="000000"/>
          <w:lang w:val="hr-HR" w:eastAsia="bs-Latn-BA"/>
        </w:rPr>
        <w:t xml:space="preserve"> неке од показатеља праћења планирања и реализације из претходног периода.</w:t>
      </w:r>
    </w:p>
    <w:p w:rsidR="00F82FDC" w:rsidRPr="00F82FDC" w:rsidRDefault="00F82FDC" w:rsidP="00F82FDC">
      <w:pPr>
        <w:spacing w:after="0" w:line="240" w:lineRule="auto"/>
        <w:jc w:val="both"/>
        <w:rPr>
          <w:rFonts w:cs="Times New Roman"/>
          <w:color w:val="000000"/>
          <w:lang w:val="hr-HR" w:eastAsia="bs-Latn-BA"/>
        </w:rPr>
      </w:pPr>
    </w:p>
    <w:p w:rsidR="008F2323" w:rsidRDefault="00F82FDC" w:rsidP="00F82FDC">
      <w:pPr>
        <w:spacing w:after="0" w:line="240" w:lineRule="auto"/>
        <w:jc w:val="both"/>
        <w:rPr>
          <w:rFonts w:cs="Times New Roman"/>
          <w:color w:val="000000"/>
          <w:lang w:val="hr-HR" w:eastAsia="bs-Latn-BA"/>
        </w:rPr>
      </w:pPr>
      <w:r w:rsidRPr="00F82FDC">
        <w:rPr>
          <w:rFonts w:cs="Times New Roman"/>
          <w:color w:val="000000"/>
          <w:lang w:val="hr-HR" w:eastAsia="bs-Latn-BA"/>
        </w:rPr>
        <w:t>Агенција за јавне набавке је дефинисала да у периоду 2020-2022. година проводи програмско праћење преговарачких поступака без објаве обавјештења, са посебним освртом на правни основ за примјену ове врсте поступка. Наиме, преговарачки поступак без објаве обавјештења је нетранспарентан поступак јавне набавке и као такав је потенцијално најизложенији за злоупотребе и корупцију. Програмско праћење преговарачких поступака без објаве оба</w:t>
      </w:r>
      <w:r w:rsidR="00F36FB6">
        <w:rPr>
          <w:rFonts w:cs="Times New Roman"/>
          <w:color w:val="000000"/>
          <w:lang w:val="hr-HR" w:eastAsia="bs-Latn-BA"/>
        </w:rPr>
        <w:t>вјештења Агенција ће радити у са</w:t>
      </w:r>
      <w:r w:rsidRPr="00F82FDC">
        <w:rPr>
          <w:rFonts w:cs="Times New Roman"/>
          <w:color w:val="000000"/>
          <w:lang w:val="hr-HR" w:eastAsia="bs-Latn-BA"/>
        </w:rPr>
        <w:t>радњи са невладиним сектором.</w:t>
      </w:r>
    </w:p>
    <w:p w:rsidR="00F82FDC" w:rsidRDefault="00F82FDC" w:rsidP="00F82FDC">
      <w:pPr>
        <w:spacing w:after="0" w:line="240" w:lineRule="auto"/>
        <w:jc w:val="both"/>
        <w:rPr>
          <w:rFonts w:cs="Times New Roman"/>
          <w:color w:val="000000"/>
          <w:lang w:val="hr-HR" w:eastAsia="bs-Latn-BA"/>
        </w:rPr>
      </w:pPr>
    </w:p>
    <w:p w:rsidR="005C545B" w:rsidRPr="0035194A" w:rsidRDefault="00F82FDC" w:rsidP="005C545B">
      <w:pPr>
        <w:pStyle w:val="ListParagraph"/>
        <w:numPr>
          <w:ilvl w:val="0"/>
          <w:numId w:val="2"/>
        </w:numPr>
        <w:rPr>
          <w:b/>
          <w:sz w:val="24"/>
          <w:szCs w:val="24"/>
        </w:rPr>
      </w:pPr>
      <w:r>
        <w:rPr>
          <w:b/>
          <w:sz w:val="24"/>
          <w:szCs w:val="24"/>
          <w:lang w:val="sr-Cyrl-BA"/>
        </w:rPr>
        <w:t xml:space="preserve">Показатељи праћења поступака јавних набавки </w:t>
      </w:r>
    </w:p>
    <w:p w:rsidR="00F82FDC" w:rsidRPr="00F82FDC" w:rsidRDefault="00F82FDC" w:rsidP="00F82FDC">
      <w:pPr>
        <w:spacing w:after="0" w:line="240" w:lineRule="auto"/>
        <w:jc w:val="both"/>
        <w:rPr>
          <w:rFonts w:cs="Times New Roman"/>
          <w:color w:val="000000" w:themeColor="text1"/>
        </w:rPr>
      </w:pPr>
      <w:r w:rsidRPr="00F82FDC">
        <w:rPr>
          <w:rFonts w:cs="Times New Roman"/>
          <w:color w:val="000000" w:themeColor="text1"/>
        </w:rPr>
        <w:t xml:space="preserve">У току 2019. године 5 </w:t>
      </w:r>
      <w:r w:rsidR="00F36FB6">
        <w:rPr>
          <w:rFonts w:cs="Times New Roman"/>
          <w:color w:val="000000" w:themeColor="text1"/>
          <w:lang w:val="sr-Cyrl-BA"/>
        </w:rPr>
        <w:t>запослених</w:t>
      </w:r>
      <w:r w:rsidRPr="00F82FDC">
        <w:rPr>
          <w:rFonts w:cs="Times New Roman"/>
          <w:color w:val="000000" w:themeColor="text1"/>
        </w:rPr>
        <w:t xml:space="preserve"> у Агенцији за јавне набавке је кроз праћења поступака јавних набавки, процесуирало укупно 347 предмета праћења, (укључујући 45 праћења по захтјеву НГО). Предмет праћења поступака се базирао на више извора праћења који су за циљ имали указати на слабости система јавних набавки, како интерних слабости код уговорних органа, тако и екстерне слабости, на којим треба радити како би се исте у наредном периоду откл</w:t>
      </w:r>
      <w:r w:rsidR="00F36FB6">
        <w:rPr>
          <w:rFonts w:cs="Times New Roman"/>
          <w:color w:val="000000" w:themeColor="text1"/>
        </w:rPr>
        <w:t>ониле. Уговорни органи су претеж</w:t>
      </w:r>
      <w:r w:rsidRPr="00F82FDC">
        <w:rPr>
          <w:rFonts w:cs="Times New Roman"/>
          <w:color w:val="000000" w:themeColor="text1"/>
        </w:rPr>
        <w:t>но у року достављали изјашњења на праћење. У 27 случајева, изјашњења су доставили након ургенције Агенције.</w:t>
      </w:r>
    </w:p>
    <w:p w:rsidR="00F82FDC" w:rsidRPr="00F82FDC" w:rsidRDefault="00F82FDC" w:rsidP="00F82FDC">
      <w:pPr>
        <w:spacing w:after="0" w:line="240" w:lineRule="auto"/>
        <w:jc w:val="both"/>
        <w:rPr>
          <w:rFonts w:cs="Times New Roman"/>
          <w:color w:val="000000" w:themeColor="text1"/>
        </w:rPr>
      </w:pPr>
    </w:p>
    <w:p w:rsidR="00F82FDC" w:rsidRPr="00F82FDC" w:rsidRDefault="00F82FDC" w:rsidP="00F82FDC">
      <w:pPr>
        <w:spacing w:after="0" w:line="240" w:lineRule="auto"/>
        <w:jc w:val="both"/>
        <w:rPr>
          <w:rFonts w:cs="Times New Roman"/>
          <w:color w:val="000000" w:themeColor="text1"/>
        </w:rPr>
      </w:pPr>
      <w:r w:rsidRPr="00F82FDC">
        <w:rPr>
          <w:rFonts w:cs="Times New Roman"/>
          <w:color w:val="000000" w:themeColor="text1"/>
        </w:rPr>
        <w:t>Надаље, кроз праћење поступака јавних набавки у 2019. години, као битније интерне слабости у уговорни</w:t>
      </w:r>
      <w:r w:rsidR="00F36FB6">
        <w:rPr>
          <w:rFonts w:cs="Times New Roman"/>
          <w:color w:val="000000" w:themeColor="text1"/>
        </w:rPr>
        <w:t>м органима идентификоване су сљ</w:t>
      </w:r>
      <w:r w:rsidRPr="00F82FDC">
        <w:rPr>
          <w:rFonts w:cs="Times New Roman"/>
          <w:color w:val="000000" w:themeColor="text1"/>
        </w:rPr>
        <w:t>едеће:</w:t>
      </w:r>
    </w:p>
    <w:p w:rsidR="00F82FDC" w:rsidRPr="00F82FDC" w:rsidRDefault="00F82FDC" w:rsidP="00F82FDC">
      <w:pPr>
        <w:spacing w:after="0" w:line="240" w:lineRule="auto"/>
        <w:jc w:val="both"/>
        <w:rPr>
          <w:rFonts w:cs="Times New Roman"/>
          <w:color w:val="000000" w:themeColor="text1"/>
        </w:rPr>
      </w:pPr>
    </w:p>
    <w:p w:rsidR="00F82FDC" w:rsidRPr="00F82FDC" w:rsidRDefault="00F82FDC" w:rsidP="00F82FDC">
      <w:pPr>
        <w:spacing w:after="0" w:line="240" w:lineRule="auto"/>
        <w:ind w:left="851" w:hanging="425"/>
        <w:jc w:val="both"/>
        <w:rPr>
          <w:rFonts w:cs="Times New Roman"/>
          <w:color w:val="000000" w:themeColor="text1"/>
        </w:rPr>
      </w:pPr>
      <w:r w:rsidRPr="00F82FDC">
        <w:rPr>
          <w:rFonts w:cs="Times New Roman"/>
          <w:color w:val="000000" w:themeColor="text1"/>
        </w:rPr>
        <w:lastRenderedPageBreak/>
        <w:t>-</w:t>
      </w:r>
      <w:r w:rsidRPr="00F82FDC">
        <w:rPr>
          <w:rFonts w:cs="Times New Roman"/>
          <w:color w:val="000000" w:themeColor="text1"/>
        </w:rPr>
        <w:tab/>
        <w:t xml:space="preserve">Послови јавних набавки су додатни послови који нису систематизовани у интерним актима уговорних органа (ова слабост је посебно изражена код уговорних органа са малим бројем </w:t>
      </w:r>
      <w:r w:rsidR="00F36FB6">
        <w:rPr>
          <w:rFonts w:cs="Times New Roman"/>
          <w:color w:val="000000" w:themeColor="text1"/>
          <w:lang w:val="sr-Cyrl-BA"/>
        </w:rPr>
        <w:t>запослених</w:t>
      </w:r>
      <w:r w:rsidRPr="00F82FDC">
        <w:rPr>
          <w:rFonts w:cs="Times New Roman"/>
          <w:color w:val="000000" w:themeColor="text1"/>
        </w:rPr>
        <w:t xml:space="preserve"> и малим буџетима);</w:t>
      </w:r>
    </w:p>
    <w:p w:rsidR="00F82FDC" w:rsidRPr="00F82FDC" w:rsidRDefault="00F82FDC" w:rsidP="00F82FDC">
      <w:pPr>
        <w:spacing w:after="0" w:line="240" w:lineRule="auto"/>
        <w:ind w:left="851" w:hanging="425"/>
        <w:jc w:val="both"/>
        <w:rPr>
          <w:rFonts w:cs="Times New Roman"/>
          <w:color w:val="000000" w:themeColor="text1"/>
        </w:rPr>
      </w:pPr>
      <w:r w:rsidRPr="00F82FDC">
        <w:rPr>
          <w:rFonts w:cs="Times New Roman"/>
          <w:color w:val="000000" w:themeColor="text1"/>
        </w:rPr>
        <w:t>-</w:t>
      </w:r>
      <w:r w:rsidRPr="00F82FDC">
        <w:rPr>
          <w:rFonts w:cs="Times New Roman"/>
          <w:color w:val="000000" w:themeColor="text1"/>
        </w:rPr>
        <w:tab/>
        <w:t xml:space="preserve">У комисије за јавне набавке се именују </w:t>
      </w:r>
      <w:r w:rsidR="00F36FB6">
        <w:rPr>
          <w:rFonts w:cs="Times New Roman"/>
          <w:color w:val="000000" w:themeColor="text1"/>
          <w:lang w:val="sr-Cyrl-BA"/>
        </w:rPr>
        <w:t>запослени</w:t>
      </w:r>
      <w:r w:rsidRPr="00F82FDC">
        <w:rPr>
          <w:rFonts w:cs="Times New Roman"/>
          <w:color w:val="000000" w:themeColor="text1"/>
        </w:rPr>
        <w:t xml:space="preserve"> само да би се задовољила форма, а не према стварним захтјевима које </w:t>
      </w:r>
      <w:r w:rsidR="00F36FB6">
        <w:rPr>
          <w:rFonts w:cs="Times New Roman"/>
          <w:color w:val="000000" w:themeColor="text1"/>
          <w:lang w:val="sr-Cyrl-BA"/>
        </w:rPr>
        <w:t>дефинише</w:t>
      </w:r>
      <w:r w:rsidRPr="00F82FDC">
        <w:rPr>
          <w:rFonts w:cs="Times New Roman"/>
          <w:color w:val="000000" w:themeColor="text1"/>
        </w:rPr>
        <w:t xml:space="preserve"> Правилник о </w:t>
      </w:r>
      <w:r w:rsidR="00F36FB6">
        <w:rPr>
          <w:rFonts w:cs="Times New Roman"/>
          <w:color w:val="000000" w:themeColor="text1"/>
          <w:lang w:val="sr-Cyrl-BA"/>
        </w:rPr>
        <w:t>успостављању</w:t>
      </w:r>
      <w:r w:rsidRPr="00F82FDC">
        <w:rPr>
          <w:rFonts w:cs="Times New Roman"/>
          <w:color w:val="000000" w:themeColor="text1"/>
        </w:rPr>
        <w:t xml:space="preserve"> и раду комисије;</w:t>
      </w:r>
    </w:p>
    <w:p w:rsidR="00F82FDC" w:rsidRPr="00F82FDC" w:rsidRDefault="00F82FDC" w:rsidP="00F82FDC">
      <w:pPr>
        <w:spacing w:after="0" w:line="240" w:lineRule="auto"/>
        <w:ind w:left="851" w:hanging="425"/>
        <w:jc w:val="both"/>
        <w:rPr>
          <w:rFonts w:cs="Times New Roman"/>
          <w:color w:val="000000" w:themeColor="text1"/>
        </w:rPr>
      </w:pPr>
      <w:r w:rsidRPr="00F82FDC">
        <w:rPr>
          <w:rFonts w:cs="Times New Roman"/>
          <w:color w:val="000000" w:themeColor="text1"/>
        </w:rPr>
        <w:t>-</w:t>
      </w:r>
      <w:r w:rsidRPr="00F82FDC">
        <w:rPr>
          <w:rFonts w:cs="Times New Roman"/>
          <w:color w:val="000000" w:themeColor="text1"/>
        </w:rPr>
        <w:tab/>
        <w:t xml:space="preserve">Недовољна </w:t>
      </w:r>
      <w:r w:rsidR="00F36FB6">
        <w:rPr>
          <w:rFonts w:cs="Times New Roman"/>
          <w:color w:val="000000" w:themeColor="text1"/>
          <w:lang w:val="sr-Cyrl-BA"/>
        </w:rPr>
        <w:t>едукованост</w:t>
      </w:r>
      <w:r w:rsidRPr="00F82FDC">
        <w:rPr>
          <w:rFonts w:cs="Times New Roman"/>
          <w:color w:val="000000" w:themeColor="text1"/>
        </w:rPr>
        <w:t xml:space="preserve"> интерне ревизије у дијелу јавних набавки, а која би кроз своје извјештаје требала да укаже на слабости уговорног органа  у области јавних набавки;</w:t>
      </w:r>
    </w:p>
    <w:p w:rsidR="00F82FDC" w:rsidRPr="00F82FDC" w:rsidRDefault="00F82FDC" w:rsidP="00F82FDC">
      <w:pPr>
        <w:spacing w:after="0" w:line="240" w:lineRule="auto"/>
        <w:ind w:left="851" w:hanging="425"/>
        <w:jc w:val="both"/>
        <w:rPr>
          <w:rFonts w:cs="Times New Roman"/>
          <w:color w:val="000000" w:themeColor="text1"/>
        </w:rPr>
      </w:pPr>
      <w:r w:rsidRPr="00F82FDC">
        <w:rPr>
          <w:rFonts w:cs="Times New Roman"/>
          <w:color w:val="000000" w:themeColor="text1"/>
        </w:rPr>
        <w:t>-</w:t>
      </w:r>
      <w:r w:rsidRPr="00F82FDC">
        <w:rPr>
          <w:rFonts w:cs="Times New Roman"/>
          <w:color w:val="000000" w:themeColor="text1"/>
        </w:rPr>
        <w:tab/>
        <w:t>Непостојање интерног мониторинга у уговорном органу,</w:t>
      </w:r>
    </w:p>
    <w:p w:rsidR="00F82FDC" w:rsidRPr="00F82FDC" w:rsidRDefault="00F82FDC" w:rsidP="00F82FDC">
      <w:pPr>
        <w:spacing w:after="0" w:line="240" w:lineRule="auto"/>
        <w:ind w:left="851" w:hanging="425"/>
        <w:jc w:val="both"/>
        <w:rPr>
          <w:rFonts w:cs="Times New Roman"/>
          <w:color w:val="000000" w:themeColor="text1"/>
        </w:rPr>
      </w:pPr>
      <w:r w:rsidRPr="00F82FDC">
        <w:rPr>
          <w:rFonts w:cs="Times New Roman"/>
          <w:color w:val="000000" w:themeColor="text1"/>
        </w:rPr>
        <w:t>-</w:t>
      </w:r>
      <w:r w:rsidRPr="00F82FDC">
        <w:rPr>
          <w:rFonts w:cs="Times New Roman"/>
          <w:color w:val="000000" w:themeColor="text1"/>
        </w:rPr>
        <w:tab/>
        <w:t>Изостанак експертских знања приликом дефинисања техничких спецификација које треба да омогуће једнак третман свих потенцијалних понуђача:</w:t>
      </w:r>
    </w:p>
    <w:p w:rsidR="00F82FDC" w:rsidRPr="00F82FDC" w:rsidRDefault="00F82FDC" w:rsidP="00F82FDC">
      <w:pPr>
        <w:spacing w:after="0" w:line="240" w:lineRule="auto"/>
        <w:jc w:val="both"/>
        <w:rPr>
          <w:rFonts w:cs="Times New Roman"/>
          <w:color w:val="000000" w:themeColor="text1"/>
        </w:rPr>
      </w:pPr>
    </w:p>
    <w:p w:rsidR="00F82FDC" w:rsidRPr="00F82FDC" w:rsidRDefault="00F82FDC" w:rsidP="00F82FDC">
      <w:pPr>
        <w:spacing w:after="0" w:line="240" w:lineRule="auto"/>
        <w:jc w:val="both"/>
        <w:rPr>
          <w:rFonts w:cs="Times New Roman"/>
          <w:color w:val="000000" w:themeColor="text1"/>
        </w:rPr>
      </w:pPr>
      <w:r w:rsidRPr="00F82FDC">
        <w:rPr>
          <w:rFonts w:cs="Times New Roman"/>
          <w:color w:val="000000" w:themeColor="text1"/>
        </w:rPr>
        <w:t>Ова запажања су резултат извјештаја полазника обука за службенике за јавне набавке, посебно у дијелу који се односи на техничке спецификације. Ангажовање стручњака за припрему техничкх спецификација, изостанак провођења консултација са јавношћу као и „</w:t>
      </w:r>
      <w:r w:rsidR="00F36FB6">
        <w:rPr>
          <w:rFonts w:cs="Times New Roman"/>
          <w:color w:val="000000" w:themeColor="text1"/>
          <w:lang w:val="sr-Cyrl-BA"/>
        </w:rPr>
        <w:t>фаворизовање</w:t>
      </w:r>
      <w:r w:rsidRPr="00F82FDC">
        <w:rPr>
          <w:rFonts w:cs="Times New Roman"/>
          <w:color w:val="000000" w:themeColor="text1"/>
        </w:rPr>
        <w:t xml:space="preserve">“ не само понуђача, већ и марке и врсте предмета јавне набавке. </w:t>
      </w:r>
    </w:p>
    <w:p w:rsidR="00F82FDC" w:rsidRPr="00F82FDC" w:rsidRDefault="00F82FDC" w:rsidP="00F82FDC">
      <w:pPr>
        <w:spacing w:after="0" w:line="240" w:lineRule="auto"/>
        <w:jc w:val="both"/>
        <w:rPr>
          <w:rFonts w:cs="Times New Roman"/>
          <w:color w:val="000000" w:themeColor="text1"/>
        </w:rPr>
      </w:pPr>
    </w:p>
    <w:p w:rsidR="005C545B" w:rsidRDefault="00F82FDC" w:rsidP="00F82FDC">
      <w:pPr>
        <w:spacing w:after="0" w:line="240" w:lineRule="auto"/>
        <w:jc w:val="both"/>
        <w:rPr>
          <w:rFonts w:cs="Times New Roman"/>
          <w:color w:val="000000" w:themeColor="text1"/>
        </w:rPr>
      </w:pPr>
      <w:r w:rsidRPr="00F82FDC">
        <w:rPr>
          <w:rFonts w:cs="Times New Roman"/>
          <w:color w:val="000000" w:themeColor="text1"/>
        </w:rPr>
        <w:t>Један од првих показатеља у 2019. години је значајно смањење грешака у обавјештењима о набавци до којег је дошло због увођења низа валидација у сисетму е-набавке, а за које је основа била у ранијим извјештајима о праћењу поступака јавних набавки. Стога обавјештења  набавци не треба да буду извор праћења, и што ће бити обухваћено измјенама Правилника о праћењу поступака јавних набавки.</w:t>
      </w:r>
    </w:p>
    <w:p w:rsidR="00F82FDC" w:rsidRPr="00F82FDC" w:rsidRDefault="00F82FDC" w:rsidP="00F82FDC">
      <w:pPr>
        <w:spacing w:after="0" w:line="240" w:lineRule="auto"/>
        <w:jc w:val="both"/>
        <w:rPr>
          <w:rFonts w:cs="Times New Roman"/>
          <w:color w:val="000000" w:themeColor="text1"/>
        </w:rPr>
      </w:pPr>
    </w:p>
    <w:p w:rsidR="00F82FDC" w:rsidRPr="00F82FDC" w:rsidRDefault="00F82FDC" w:rsidP="00F82FDC">
      <w:pPr>
        <w:spacing w:after="0" w:line="240" w:lineRule="auto"/>
        <w:jc w:val="both"/>
        <w:rPr>
          <w:rFonts w:cs="Times New Roman"/>
          <w:color w:val="000000" w:themeColor="text1"/>
        </w:rPr>
      </w:pPr>
      <w:r w:rsidRPr="00F82FDC">
        <w:rPr>
          <w:rFonts w:cs="Times New Roman"/>
          <w:color w:val="000000" w:themeColor="text1"/>
        </w:rPr>
        <w:t>У 2019. години, а на основу закљученог Меморандума између Агенције за јавне набавке и невладиног сектора (</w:t>
      </w:r>
      <w:r w:rsidR="00F36FB6" w:rsidRPr="00F36FB6">
        <w:rPr>
          <w:rFonts w:cs="Times New Roman"/>
          <w:color w:val="000000" w:themeColor="text1"/>
        </w:rPr>
        <w:t>Transparency International BiH</w:t>
      </w:r>
      <w:r w:rsidRPr="00F82FDC">
        <w:rPr>
          <w:rFonts w:cs="Times New Roman"/>
          <w:color w:val="000000" w:themeColor="text1"/>
        </w:rPr>
        <w:t xml:space="preserve">, Центар за истраживачко новинарство, ЕДА Развојна агенција Бања Лука и УГ Тендер) у реализацији пројекта „ </w:t>
      </w:r>
      <w:r w:rsidR="00F36FB6">
        <w:rPr>
          <w:rFonts w:cs="Times New Roman"/>
          <w:color w:val="000000" w:themeColor="text1"/>
        </w:rPr>
        <w:t>да јавне набавке буду јавне“ судј</w:t>
      </w:r>
      <w:r w:rsidRPr="00F82FDC">
        <w:rPr>
          <w:rFonts w:cs="Times New Roman"/>
          <w:color w:val="000000" w:themeColor="text1"/>
        </w:rPr>
        <w:t xml:space="preserve">еловала је у праћењу поступака јавних набавки, те је у посматраном периоду Агенцији доставила 45 захтјева за праћење. Највећи број захтјева НГО за праћење се односио на </w:t>
      </w:r>
      <w:r w:rsidR="00F36FB6">
        <w:rPr>
          <w:rFonts w:cs="Times New Roman"/>
          <w:color w:val="000000" w:themeColor="text1"/>
          <w:lang w:val="sr-Cyrl-BA"/>
        </w:rPr>
        <w:t>квалификационе</w:t>
      </w:r>
      <w:r w:rsidRPr="00F82FDC">
        <w:rPr>
          <w:rFonts w:cs="Times New Roman"/>
          <w:color w:val="000000" w:themeColor="text1"/>
        </w:rPr>
        <w:t xml:space="preserve"> услове, као и на техничке спецификације, међутим број захтјева за праћење који се односио на техничке спецификације је мањи у односу на 2018. годину. Наиме, Агенција нема надлежност да проводи праћење у дијелу техничких спецификација. Праћење техничких спецификација захтјева стручна и експертска знања</w:t>
      </w:r>
      <w:r w:rsidR="00F36FB6">
        <w:rPr>
          <w:rFonts w:cs="Times New Roman"/>
          <w:color w:val="000000" w:themeColor="text1"/>
        </w:rPr>
        <w:t xml:space="preserve"> везана за предмет набавке, а шт</w:t>
      </w:r>
      <w:r w:rsidRPr="00F82FDC">
        <w:rPr>
          <w:rFonts w:cs="Times New Roman"/>
          <w:color w:val="000000" w:themeColor="text1"/>
        </w:rPr>
        <w:t xml:space="preserve">о Агенција не посједује нити има у буџету средства за ангажовање експерата везано за техничке спецификације. </w:t>
      </w:r>
    </w:p>
    <w:p w:rsidR="00F82FDC" w:rsidRPr="00F82FDC" w:rsidRDefault="00F82FDC" w:rsidP="00F82FDC">
      <w:pPr>
        <w:spacing w:after="0" w:line="240" w:lineRule="auto"/>
        <w:jc w:val="both"/>
        <w:rPr>
          <w:rFonts w:cs="Times New Roman"/>
          <w:color w:val="000000" w:themeColor="text1"/>
        </w:rPr>
      </w:pPr>
    </w:p>
    <w:p w:rsidR="00F82FDC" w:rsidRPr="00F82FDC" w:rsidRDefault="00F82FDC" w:rsidP="00F82FDC">
      <w:pPr>
        <w:spacing w:after="0" w:line="240" w:lineRule="auto"/>
        <w:jc w:val="both"/>
        <w:rPr>
          <w:rFonts w:cs="Times New Roman"/>
          <w:color w:val="000000" w:themeColor="text1"/>
        </w:rPr>
      </w:pPr>
      <w:r w:rsidRPr="00F82FDC">
        <w:rPr>
          <w:rFonts w:cs="Times New Roman"/>
          <w:color w:val="000000" w:themeColor="text1"/>
        </w:rPr>
        <w:t xml:space="preserve">Ако се има у виду чињеница да је Агенција на темељу праћења, надлежна поднијети захтјев за покретање прекршајног поступка, у складу са чланом 116. Закона о јавним набавкама, онда је овај број </w:t>
      </w:r>
      <w:r w:rsidR="00F36FB6">
        <w:rPr>
          <w:rFonts w:cs="Times New Roman"/>
          <w:color w:val="000000" w:themeColor="text1"/>
          <w:lang w:val="sr-Cyrl-BA"/>
        </w:rPr>
        <w:t>запослених</w:t>
      </w:r>
      <w:r w:rsidRPr="00F82FDC">
        <w:rPr>
          <w:rFonts w:cs="Times New Roman"/>
          <w:color w:val="000000" w:themeColor="text1"/>
        </w:rPr>
        <w:t xml:space="preserve"> недовољан за већи обухват праћења, јер већи обухват праћења би </w:t>
      </w:r>
      <w:r w:rsidR="00F36FB6">
        <w:rPr>
          <w:rFonts w:cs="Times New Roman"/>
          <w:color w:val="000000" w:themeColor="text1"/>
          <w:lang w:val="sr-Cyrl-BA"/>
        </w:rPr>
        <w:t>резултовао</w:t>
      </w:r>
      <w:r w:rsidRPr="00F82FDC">
        <w:rPr>
          <w:rFonts w:cs="Times New Roman"/>
          <w:color w:val="000000" w:themeColor="text1"/>
        </w:rPr>
        <w:t xml:space="preserve"> и већим бројем прекршајних пријава (у 2019. години поднесено 27 прекршајних пријава). </w:t>
      </w:r>
    </w:p>
    <w:p w:rsidR="00F82FDC" w:rsidRPr="00F82FDC" w:rsidRDefault="00F82FDC" w:rsidP="00F82FDC">
      <w:pPr>
        <w:spacing w:after="0" w:line="240" w:lineRule="auto"/>
        <w:jc w:val="both"/>
        <w:rPr>
          <w:rFonts w:cs="Times New Roman"/>
          <w:color w:val="000000" w:themeColor="text1"/>
        </w:rPr>
      </w:pPr>
    </w:p>
    <w:p w:rsidR="00304578" w:rsidRDefault="00F82FDC" w:rsidP="00F82FDC">
      <w:pPr>
        <w:spacing w:after="0" w:line="240" w:lineRule="auto"/>
        <w:jc w:val="both"/>
        <w:rPr>
          <w:rFonts w:cs="Times New Roman"/>
          <w:color w:val="000000" w:themeColor="text1"/>
        </w:rPr>
      </w:pPr>
      <w:r w:rsidRPr="00F82FDC">
        <w:rPr>
          <w:rFonts w:cs="Times New Roman"/>
          <w:color w:val="000000" w:themeColor="text1"/>
        </w:rPr>
        <w:t xml:space="preserve">Наиме, Агенција као </w:t>
      </w:r>
      <w:r w:rsidR="00F36FB6">
        <w:rPr>
          <w:rFonts w:cs="Times New Roman"/>
          <w:color w:val="000000" w:themeColor="text1"/>
          <w:lang w:val="sr-Cyrl-BA"/>
        </w:rPr>
        <w:t>регулациони орган</w:t>
      </w:r>
      <w:r w:rsidRPr="00F82FDC">
        <w:rPr>
          <w:rFonts w:cs="Times New Roman"/>
          <w:color w:val="000000" w:themeColor="text1"/>
        </w:rPr>
        <w:t xml:space="preserve"> система, прије свега има </w:t>
      </w:r>
      <w:r w:rsidR="00F36FB6">
        <w:rPr>
          <w:rFonts w:cs="Times New Roman"/>
          <w:color w:val="000000" w:themeColor="text1"/>
          <w:lang w:val="sr-Cyrl-BA"/>
        </w:rPr>
        <w:t>задатак</w:t>
      </w:r>
      <w:r w:rsidRPr="00F82FDC">
        <w:rPr>
          <w:rFonts w:cs="Times New Roman"/>
          <w:color w:val="000000" w:themeColor="text1"/>
        </w:rPr>
        <w:t xml:space="preserve"> да прати систем и на основу показатеља праћења система предлаже и измјене које би отклониле девијације у сис</w:t>
      </w:r>
      <w:r w:rsidR="00F36FB6">
        <w:rPr>
          <w:rFonts w:cs="Times New Roman"/>
          <w:color w:val="000000" w:themeColor="text1"/>
        </w:rPr>
        <w:t>тему, као и лошу праксу. Такође</w:t>
      </w:r>
      <w:r w:rsidRPr="00F82FDC">
        <w:rPr>
          <w:rFonts w:cs="Times New Roman"/>
          <w:color w:val="000000" w:themeColor="text1"/>
        </w:rPr>
        <w:t>, едукативни карактер који има Агенција, путем овлаштених предавача јавних набавки, као и службеника за јавне набавке, је механизам за промовисање правилног поступања и добре праксе у поступцима јавних набавки. Али након више од 10 година, изградње система, као и едукативног и превентивног карактера праћења система јавних набавки, стекли су се услови и за реализацију санкционисања поступања кој</w:t>
      </w:r>
      <w:r w:rsidR="00F36FB6">
        <w:rPr>
          <w:rFonts w:cs="Times New Roman"/>
          <w:color w:val="000000" w:themeColor="text1"/>
        </w:rPr>
        <w:t>а нису у складу са Законом и подз</w:t>
      </w:r>
      <w:r w:rsidRPr="00F82FDC">
        <w:rPr>
          <w:rFonts w:cs="Times New Roman"/>
          <w:color w:val="000000" w:themeColor="text1"/>
        </w:rPr>
        <w:t>аконским актима.</w:t>
      </w:r>
    </w:p>
    <w:p w:rsidR="00F82FDC" w:rsidRPr="00F82FDC" w:rsidRDefault="00F82FDC" w:rsidP="00F82FDC">
      <w:pPr>
        <w:spacing w:after="0" w:line="240" w:lineRule="auto"/>
        <w:jc w:val="both"/>
        <w:rPr>
          <w:rFonts w:cs="Times New Roman"/>
          <w:color w:val="000000" w:themeColor="text1"/>
          <w:lang w:val="hr-HR" w:eastAsia="bs-Latn-BA"/>
        </w:rPr>
      </w:pPr>
    </w:p>
    <w:p w:rsidR="00F82FDC" w:rsidRPr="00F82FDC" w:rsidRDefault="00F82FDC" w:rsidP="00F82FDC">
      <w:pPr>
        <w:spacing w:after="0" w:line="240" w:lineRule="auto"/>
        <w:jc w:val="both"/>
        <w:rPr>
          <w:rFonts w:cs="Times New Roman"/>
          <w:color w:val="000000"/>
          <w:lang w:val="hr-HR" w:eastAsia="bs-Latn-BA"/>
        </w:rPr>
      </w:pPr>
      <w:r w:rsidRPr="00F82FDC">
        <w:rPr>
          <w:rFonts w:cs="Times New Roman"/>
          <w:color w:val="000000"/>
          <w:lang w:val="hr-HR" w:eastAsia="bs-Latn-BA"/>
        </w:rPr>
        <w:t>Један од основа за праћење било је и праћење примјене е-аукције, чија примјена је била обавезна з</w:t>
      </w:r>
      <w:r w:rsidR="0068563F">
        <w:rPr>
          <w:rFonts w:cs="Times New Roman"/>
          <w:color w:val="000000"/>
          <w:lang w:val="hr-HR" w:eastAsia="bs-Latn-BA"/>
        </w:rPr>
        <w:t>а уговорне органе. Наиме у свим</w:t>
      </w:r>
      <w:r w:rsidRPr="00F82FDC">
        <w:rPr>
          <w:rFonts w:cs="Times New Roman"/>
          <w:color w:val="000000"/>
          <w:lang w:val="hr-HR" w:eastAsia="bs-Latn-BA"/>
        </w:rPr>
        <w:t xml:space="preserve"> поступцима јавне набавке за које се објави </w:t>
      </w:r>
      <w:r w:rsidRPr="00F82FDC">
        <w:rPr>
          <w:rFonts w:cs="Times New Roman"/>
          <w:color w:val="000000"/>
          <w:lang w:val="hr-HR" w:eastAsia="bs-Latn-BA"/>
        </w:rPr>
        <w:lastRenderedPageBreak/>
        <w:t>обавј</w:t>
      </w:r>
      <w:r w:rsidR="0068563F">
        <w:rPr>
          <w:rFonts w:cs="Times New Roman"/>
          <w:color w:val="000000"/>
          <w:lang w:val="sr-Cyrl-BA" w:eastAsia="bs-Latn-BA"/>
        </w:rPr>
        <w:t>е</w:t>
      </w:r>
      <w:r w:rsidRPr="00F82FDC">
        <w:rPr>
          <w:rFonts w:cs="Times New Roman"/>
          <w:color w:val="000000"/>
          <w:lang w:val="hr-HR" w:eastAsia="bs-Latn-BA"/>
        </w:rPr>
        <w:t>штење о набавци и у којим је критериј</w:t>
      </w:r>
      <w:r w:rsidR="0068563F">
        <w:rPr>
          <w:rFonts w:cs="Times New Roman"/>
          <w:color w:val="000000"/>
          <w:lang w:val="sr-Cyrl-BA" w:eastAsia="bs-Latn-BA"/>
        </w:rPr>
        <w:t>ум</w:t>
      </w:r>
      <w:r w:rsidRPr="00F82FDC">
        <w:rPr>
          <w:rFonts w:cs="Times New Roman"/>
          <w:color w:val="000000"/>
          <w:lang w:val="hr-HR" w:eastAsia="bs-Latn-BA"/>
        </w:rPr>
        <w:t xml:space="preserve"> за вредновање понуда била најнижа цијена, уговорни органи су били обавезни примјенити е-аукцију у најмање 80% проведених поступака. Из показатеља који су били доступни Агенцији за јавне набавке, 117 уговорнх органа је имало 0% примјењене е-аукције у поступцима јавне набавке, које су проводили. Е-аукција ће бити предмет праћења и у наредном периоду, обзиром да је од 01.01.2020. године, а у складу са Правилник о условима и начину кориштења е-аукције („Службени гласник БиХ“ број 66/16), дефинисана обавеза за уговорне органе да примјене е-аукцију 1</w:t>
      </w:r>
      <w:r w:rsidR="0068563F">
        <w:rPr>
          <w:rFonts w:cs="Times New Roman"/>
          <w:color w:val="000000"/>
          <w:lang w:val="hr-HR" w:eastAsia="bs-Latn-BA"/>
        </w:rPr>
        <w:t>00% за поступке јавне набавке гдј</w:t>
      </w:r>
      <w:r w:rsidRPr="00F82FDC">
        <w:rPr>
          <w:rFonts w:cs="Times New Roman"/>
          <w:color w:val="000000"/>
          <w:lang w:val="hr-HR" w:eastAsia="bs-Latn-BA"/>
        </w:rPr>
        <w:t>е је критериј</w:t>
      </w:r>
      <w:r w:rsidR="0068563F">
        <w:rPr>
          <w:rFonts w:cs="Times New Roman"/>
          <w:color w:val="000000"/>
          <w:lang w:val="sr-Cyrl-BA" w:eastAsia="bs-Latn-BA"/>
        </w:rPr>
        <w:t>ум</w:t>
      </w:r>
      <w:r w:rsidRPr="00F82FDC">
        <w:rPr>
          <w:rFonts w:cs="Times New Roman"/>
          <w:color w:val="000000"/>
          <w:lang w:val="hr-HR" w:eastAsia="bs-Latn-BA"/>
        </w:rPr>
        <w:t xml:space="preserve"> најнижа цијена.</w:t>
      </w:r>
    </w:p>
    <w:p w:rsidR="00F82FDC" w:rsidRPr="00F82FDC" w:rsidRDefault="00F82FDC" w:rsidP="00F82FDC">
      <w:pPr>
        <w:spacing w:after="0" w:line="240" w:lineRule="auto"/>
        <w:jc w:val="both"/>
        <w:rPr>
          <w:rFonts w:cs="Times New Roman"/>
          <w:color w:val="000000"/>
          <w:lang w:val="hr-HR" w:eastAsia="bs-Latn-BA"/>
        </w:rPr>
      </w:pPr>
    </w:p>
    <w:p w:rsidR="00F82FDC" w:rsidRDefault="00F82FDC" w:rsidP="00F82FDC">
      <w:pPr>
        <w:spacing w:after="0" w:line="240" w:lineRule="auto"/>
        <w:jc w:val="both"/>
        <w:rPr>
          <w:rFonts w:cs="Times New Roman"/>
          <w:color w:val="000000"/>
          <w:lang w:val="hr-HR" w:eastAsia="bs-Latn-BA"/>
        </w:rPr>
      </w:pPr>
      <w:r w:rsidRPr="00F82FDC">
        <w:rPr>
          <w:rFonts w:cs="Times New Roman"/>
          <w:color w:val="000000"/>
          <w:lang w:val="hr-HR" w:eastAsia="bs-Latn-BA"/>
        </w:rPr>
        <w:t>Надаље, кроз електронски систем јавних набавки у 2019. години утврђено је да су у 66 случајева уговорни органи у поступцима набавке мале вриједности, прекорачили Законом дефинисане вриједности за ове врсте поступака јавне набавке.</w:t>
      </w:r>
    </w:p>
    <w:p w:rsidR="00F82FDC" w:rsidRDefault="00F82FDC" w:rsidP="00F82FDC">
      <w:pPr>
        <w:spacing w:after="0" w:line="240" w:lineRule="auto"/>
        <w:jc w:val="both"/>
        <w:rPr>
          <w:rFonts w:cs="Times New Roman"/>
          <w:color w:val="000000"/>
          <w:lang w:val="hr-HR" w:eastAsia="bs-Latn-BA"/>
        </w:rPr>
      </w:pPr>
    </w:p>
    <w:p w:rsidR="005C545B" w:rsidRPr="00335CF5" w:rsidRDefault="004714C5" w:rsidP="00F82FDC">
      <w:pPr>
        <w:spacing w:after="0" w:line="240" w:lineRule="auto"/>
        <w:jc w:val="center"/>
        <w:rPr>
          <w:rFonts w:cs="Times New Roman"/>
          <w:color w:val="000000"/>
          <w:lang w:val="hr-HR" w:eastAsia="bs-Latn-BA"/>
        </w:rPr>
      </w:pPr>
      <w:r w:rsidRPr="00F82FDC">
        <w:rPr>
          <w:rFonts w:cs="Times New Roman"/>
          <w:noProof/>
          <w:color w:val="000000"/>
          <w:lang w:eastAsia="bs-Latn-BA"/>
        </w:rPr>
        <w:drawing>
          <wp:inline distT="0" distB="0" distL="0" distR="0" wp14:anchorId="76F4A622" wp14:editId="22966C40">
            <wp:extent cx="4200525" cy="250507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C545B" w:rsidRPr="00335CF5" w:rsidRDefault="005C545B" w:rsidP="005C545B">
      <w:pPr>
        <w:spacing w:after="0" w:line="240" w:lineRule="auto"/>
        <w:jc w:val="center"/>
        <w:rPr>
          <w:rFonts w:cs="Times New Roman"/>
          <w:color w:val="000000"/>
          <w:lang w:val="hr-HR" w:eastAsia="bs-Latn-BA"/>
        </w:rPr>
      </w:pPr>
    </w:p>
    <w:p w:rsidR="00F82FDC" w:rsidRDefault="00F82FDC" w:rsidP="00F82FDC">
      <w:pPr>
        <w:spacing w:after="0" w:line="240" w:lineRule="auto"/>
        <w:jc w:val="both"/>
      </w:pPr>
      <w:r>
        <w:t xml:space="preserve">Посматрајући показатеље везано за предмет праћења поступака </w:t>
      </w:r>
      <w:r w:rsidR="0068563F">
        <w:t>јавних набавки, уочавају се сљ</w:t>
      </w:r>
      <w:r>
        <w:t>едећи пропусти и од понуђача и од уговорних органа:</w:t>
      </w:r>
    </w:p>
    <w:p w:rsidR="00F82FDC" w:rsidRDefault="00F82FDC" w:rsidP="00F82FDC">
      <w:pPr>
        <w:spacing w:after="0" w:line="240" w:lineRule="auto"/>
        <w:jc w:val="both"/>
      </w:pPr>
    </w:p>
    <w:p w:rsidR="00F82FDC" w:rsidRDefault="00F82FDC" w:rsidP="0068563F">
      <w:pPr>
        <w:spacing w:after="0" w:line="240" w:lineRule="auto"/>
        <w:ind w:left="709" w:hanging="142"/>
        <w:jc w:val="both"/>
      </w:pPr>
      <w:r>
        <w:t>-</w:t>
      </w:r>
      <w:r>
        <w:tab/>
        <w:t>Хитност као разлог за примјену преговарачког поступка без објаве обавјештења није образложен у складу са условима дефинисаним у Закону,</w:t>
      </w:r>
    </w:p>
    <w:p w:rsidR="00F82FDC" w:rsidRDefault="00F82FDC" w:rsidP="0068563F">
      <w:pPr>
        <w:spacing w:after="0" w:line="240" w:lineRule="auto"/>
        <w:ind w:left="709" w:hanging="142"/>
        <w:jc w:val="both"/>
      </w:pPr>
      <w:r>
        <w:t>-</w:t>
      </w:r>
      <w:r>
        <w:tab/>
        <w:t>Рок</w:t>
      </w:r>
      <w:r w:rsidR="0068563F">
        <w:t xml:space="preserve"> за достављање</w:t>
      </w:r>
      <w:r>
        <w:t xml:space="preserve"> понуда код </w:t>
      </w:r>
      <w:r w:rsidR="0068563F">
        <w:t>конкуренског захтјева за достављање</w:t>
      </w:r>
      <w:r>
        <w:t xml:space="preserve"> понуда у одређеном броју случајева је прекратак (2 до 3 дана),</w:t>
      </w:r>
    </w:p>
    <w:p w:rsidR="00F82FDC" w:rsidRDefault="00F82FDC" w:rsidP="00F82FDC">
      <w:pPr>
        <w:spacing w:after="0" w:line="240" w:lineRule="auto"/>
        <w:ind w:left="567"/>
        <w:jc w:val="both"/>
      </w:pPr>
      <w:r>
        <w:t>-</w:t>
      </w:r>
      <w:r>
        <w:tab/>
        <w:t xml:space="preserve">Планови набавки се тешко проналазе на </w:t>
      </w:r>
      <w:r w:rsidR="0068563F">
        <w:rPr>
          <w:lang w:val="sr-Cyrl-BA"/>
        </w:rPr>
        <w:t>интернет</w:t>
      </w:r>
      <w:r>
        <w:t xml:space="preserve"> страницама уговорних органа;</w:t>
      </w:r>
    </w:p>
    <w:p w:rsidR="00F82FDC" w:rsidRDefault="0068563F" w:rsidP="00F82FDC">
      <w:pPr>
        <w:spacing w:after="0" w:line="240" w:lineRule="auto"/>
        <w:ind w:left="567"/>
        <w:jc w:val="both"/>
      </w:pPr>
      <w:r>
        <w:t>-</w:t>
      </w:r>
      <w:r>
        <w:tab/>
        <w:t>Непошто</w:t>
      </w:r>
      <w:r w:rsidR="00F82FDC">
        <w:t>вање обавезног учешћа е-аукција у поступцима јавних набавки,</w:t>
      </w:r>
    </w:p>
    <w:p w:rsidR="00F82FDC" w:rsidRDefault="00F82FDC" w:rsidP="00F82FDC">
      <w:pPr>
        <w:spacing w:after="0" w:line="240" w:lineRule="auto"/>
        <w:ind w:left="567"/>
        <w:jc w:val="both"/>
      </w:pPr>
      <w:r>
        <w:t>-</w:t>
      </w:r>
      <w:r>
        <w:tab/>
        <w:t>Подаци плана набавки и реализације уговора су несинхронизовани и непрегледни,</w:t>
      </w:r>
    </w:p>
    <w:p w:rsidR="00F82FDC" w:rsidRDefault="00F82FDC" w:rsidP="0068563F">
      <w:pPr>
        <w:spacing w:after="0" w:line="240" w:lineRule="auto"/>
        <w:ind w:left="709" w:hanging="142"/>
        <w:jc w:val="both"/>
      </w:pPr>
      <w:r>
        <w:t>-</w:t>
      </w:r>
      <w:r>
        <w:tab/>
        <w:t>Захтјеви понуђача праћење поступака користе умјесто жалбе, иако се праћење не проводи уколико је изјављена жалба,</w:t>
      </w:r>
    </w:p>
    <w:p w:rsidR="00F82FDC" w:rsidRDefault="00F82FDC" w:rsidP="00F82FDC">
      <w:pPr>
        <w:spacing w:after="0" w:line="240" w:lineRule="auto"/>
        <w:ind w:left="567"/>
        <w:jc w:val="both"/>
      </w:pPr>
      <w:r>
        <w:t>-</w:t>
      </w:r>
      <w:r>
        <w:tab/>
        <w:t xml:space="preserve">Услови за квалификацију </w:t>
      </w:r>
      <w:r w:rsidR="0068563F">
        <w:rPr>
          <w:lang w:val="sr-Cyrl-BA"/>
        </w:rPr>
        <w:t>дискриминацијски</w:t>
      </w:r>
      <w:r>
        <w:t>, или фаворизирајучи.</w:t>
      </w:r>
    </w:p>
    <w:p w:rsidR="00F82FDC" w:rsidRDefault="00F82FDC" w:rsidP="00F82FDC">
      <w:pPr>
        <w:spacing w:after="0" w:line="240" w:lineRule="auto"/>
        <w:jc w:val="both"/>
      </w:pPr>
    </w:p>
    <w:p w:rsidR="00515B07" w:rsidRDefault="00F82FDC" w:rsidP="00F82FDC">
      <w:pPr>
        <w:spacing w:after="0" w:line="240" w:lineRule="auto"/>
        <w:jc w:val="both"/>
      </w:pPr>
      <w:r>
        <w:t>Кроз систем праћења поступака јавних набавки, уочава се потреба за отклањање уочених девијација, односно погрешних поступања уговорних органа и понуђача, те у наредном периоду посебно ће се пратити преговарачки поступци без објаве обавјештења</w:t>
      </w:r>
      <w:r w:rsidR="00515B07">
        <w:t xml:space="preserve">.  </w:t>
      </w:r>
    </w:p>
    <w:p w:rsidR="00BE75D4" w:rsidRDefault="00BE75D4" w:rsidP="008152F1">
      <w:pPr>
        <w:spacing w:after="0" w:line="240" w:lineRule="auto"/>
        <w:jc w:val="both"/>
        <w:rPr>
          <w:rFonts w:cs="Times New Roman"/>
          <w:color w:val="000000"/>
          <w:lang w:val="hr-HR" w:eastAsia="bs-Latn-BA"/>
        </w:rPr>
      </w:pPr>
    </w:p>
    <w:p w:rsidR="00CD069B" w:rsidRDefault="00F82FDC" w:rsidP="00CD069B">
      <w:pPr>
        <w:pStyle w:val="ListParagraph"/>
        <w:numPr>
          <w:ilvl w:val="0"/>
          <w:numId w:val="2"/>
        </w:numPr>
        <w:spacing w:after="0" w:line="240" w:lineRule="auto"/>
        <w:jc w:val="both"/>
        <w:rPr>
          <w:rFonts w:cs="Times New Roman"/>
          <w:b/>
          <w:color w:val="000000"/>
          <w:lang w:val="hr-HR" w:eastAsia="bs-Latn-BA"/>
        </w:rPr>
      </w:pPr>
      <w:r>
        <w:rPr>
          <w:rFonts w:cs="Times New Roman"/>
          <w:b/>
          <w:color w:val="000000"/>
          <w:lang w:val="sr-Cyrl-BA" w:eastAsia="bs-Latn-BA"/>
        </w:rPr>
        <w:t xml:space="preserve">Преговарачки поступци без објаве обавјештења </w:t>
      </w:r>
    </w:p>
    <w:p w:rsidR="003E4674" w:rsidRDefault="003E4674" w:rsidP="003E4674">
      <w:pPr>
        <w:spacing w:after="0" w:line="240" w:lineRule="auto"/>
        <w:jc w:val="both"/>
        <w:rPr>
          <w:rFonts w:cs="Times New Roman"/>
          <w:b/>
          <w:color w:val="000000"/>
          <w:lang w:val="hr-HR" w:eastAsia="bs-Latn-BA"/>
        </w:rPr>
      </w:pPr>
    </w:p>
    <w:p w:rsidR="00F82FDC" w:rsidRPr="00F82FDC" w:rsidRDefault="00F82FDC" w:rsidP="00F82FDC">
      <w:pPr>
        <w:spacing w:after="0" w:line="240" w:lineRule="auto"/>
        <w:jc w:val="both"/>
        <w:rPr>
          <w:rFonts w:cs="Times New Roman"/>
          <w:color w:val="000000"/>
          <w:lang w:val="hr-HR" w:eastAsia="bs-Latn-BA"/>
        </w:rPr>
      </w:pPr>
      <w:r w:rsidRPr="00F82FDC">
        <w:rPr>
          <w:rFonts w:cs="Times New Roman"/>
          <w:color w:val="000000"/>
          <w:lang w:val="hr-HR" w:eastAsia="bs-Latn-BA"/>
        </w:rPr>
        <w:t xml:space="preserve">Преговарачки поступак без објаве обавјештења је нетранспарентан поступак јавне набавке, који се може проводити само у случајевима који су дефинисани Законом о јавним набавкама. Битно је нагласити да услови за примјену ове врсте поступка јавне набавке су строги, и у сваком од </w:t>
      </w:r>
      <w:r w:rsidRPr="00F82FDC">
        <w:rPr>
          <w:rFonts w:cs="Times New Roman"/>
          <w:color w:val="000000"/>
          <w:lang w:val="hr-HR" w:eastAsia="bs-Latn-BA"/>
        </w:rPr>
        <w:lastRenderedPageBreak/>
        <w:t>случајева потребно је да буде испуњено кумулативно више услова, да би се примјенио овај поступак. Међутим, кроз поступак праћења уочено је да уговорни органи примјењују ову врсту поступка и онда када нису испуњени услови за примјену.</w:t>
      </w:r>
    </w:p>
    <w:p w:rsidR="00F82FDC" w:rsidRPr="00F82FDC" w:rsidRDefault="00F82FDC" w:rsidP="00F82FDC">
      <w:pPr>
        <w:spacing w:after="0" w:line="240" w:lineRule="auto"/>
        <w:jc w:val="both"/>
        <w:rPr>
          <w:rFonts w:cs="Times New Roman"/>
          <w:color w:val="000000"/>
          <w:lang w:val="hr-HR" w:eastAsia="bs-Latn-BA"/>
        </w:rPr>
      </w:pPr>
    </w:p>
    <w:p w:rsidR="00F82FDC" w:rsidRPr="00F82FDC" w:rsidRDefault="00F82FDC" w:rsidP="00F82FDC">
      <w:pPr>
        <w:spacing w:after="0" w:line="240" w:lineRule="auto"/>
        <w:jc w:val="both"/>
        <w:rPr>
          <w:rFonts w:cs="Times New Roman"/>
          <w:color w:val="000000"/>
          <w:lang w:val="hr-HR" w:eastAsia="bs-Latn-BA"/>
        </w:rPr>
      </w:pPr>
      <w:r w:rsidRPr="00F82FDC">
        <w:rPr>
          <w:rFonts w:cs="Times New Roman"/>
          <w:color w:val="000000"/>
          <w:lang w:val="hr-HR" w:eastAsia="bs-Latn-BA"/>
        </w:rPr>
        <w:t>У 2019. години у Босни и Херцеговни је закључено 1546 уговора/оквирних споразума (у даљем тексту: уговори) путем преговарачког поступка без објаве обавјештења.  У односу на број регистрованих уговорних органа на Порталу јавних набавки, на дан 31.12.2019. године, (2..673 регистрова угов</w:t>
      </w:r>
      <w:r w:rsidR="0068563F">
        <w:rPr>
          <w:rFonts w:cs="Times New Roman"/>
          <w:color w:val="000000"/>
          <w:lang w:val="hr-HR" w:eastAsia="bs-Latn-BA"/>
        </w:rPr>
        <w:t>орна органа), просјечан број додј</w:t>
      </w:r>
      <w:r w:rsidRPr="00F82FDC">
        <w:rPr>
          <w:rFonts w:cs="Times New Roman"/>
          <w:color w:val="000000"/>
          <w:lang w:val="hr-HR" w:eastAsia="bs-Latn-BA"/>
        </w:rPr>
        <w:t>ељених уговора путем преговарачког поступка без објаве обавјештења по уговорном органу је 0,57 уговора. Просјечан број примљених понуда у преговарачком поступку без објаве обавјештења је 1,07</w:t>
      </w:r>
      <w:r w:rsidR="0068563F">
        <w:rPr>
          <w:rFonts w:cs="Times New Roman"/>
          <w:color w:val="000000"/>
          <w:lang w:val="hr-HR" w:eastAsia="bs-Latn-BA"/>
        </w:rPr>
        <w:t xml:space="preserve"> понуда по поступку. На 1546 додј</w:t>
      </w:r>
      <w:r w:rsidRPr="00F82FDC">
        <w:rPr>
          <w:rFonts w:cs="Times New Roman"/>
          <w:color w:val="000000"/>
          <w:lang w:val="hr-HR" w:eastAsia="bs-Latn-BA"/>
        </w:rPr>
        <w:t>ељених уговора, изјављене с</w:t>
      </w:r>
      <w:r w:rsidR="0068563F">
        <w:rPr>
          <w:rFonts w:cs="Times New Roman"/>
          <w:color w:val="000000"/>
          <w:lang w:val="hr-HR" w:eastAsia="bs-Latn-BA"/>
        </w:rPr>
        <w:t>у 2 жалбе, и то у случајевима гдј</w:t>
      </w:r>
      <w:r w:rsidRPr="00F82FDC">
        <w:rPr>
          <w:rFonts w:cs="Times New Roman"/>
          <w:color w:val="000000"/>
          <w:lang w:val="hr-HR" w:eastAsia="bs-Latn-BA"/>
        </w:rPr>
        <w:t>е је била само једна понуда.</w:t>
      </w:r>
    </w:p>
    <w:p w:rsidR="00F82FDC" w:rsidRPr="00F82FDC" w:rsidRDefault="00F82FDC" w:rsidP="00F82FDC">
      <w:pPr>
        <w:spacing w:after="0" w:line="240" w:lineRule="auto"/>
        <w:jc w:val="both"/>
        <w:rPr>
          <w:rFonts w:cs="Times New Roman"/>
          <w:color w:val="000000"/>
          <w:lang w:val="hr-HR" w:eastAsia="bs-Latn-BA"/>
        </w:rPr>
      </w:pPr>
    </w:p>
    <w:p w:rsidR="00BA1F5B" w:rsidRDefault="00F82FDC" w:rsidP="00F82FDC">
      <w:pPr>
        <w:spacing w:after="0" w:line="240" w:lineRule="auto"/>
        <w:jc w:val="both"/>
        <w:rPr>
          <w:rFonts w:cs="Times New Roman"/>
          <w:color w:val="000000"/>
          <w:lang w:val="hr-HR" w:eastAsia="bs-Latn-BA"/>
        </w:rPr>
      </w:pPr>
      <w:r w:rsidRPr="00F82FDC">
        <w:rPr>
          <w:rFonts w:cs="Times New Roman"/>
          <w:color w:val="000000"/>
          <w:lang w:val="hr-HR" w:eastAsia="bs-Latn-BA"/>
        </w:rPr>
        <w:t>Даљом анализом података везано за преговарачки поступак без објаве обавјештења утврђено је да се преговарачки поступци без објаве обавјештења за набавке већих вриједности у већем броју случајева користе у енергетском сектору (електропривреде, рудници)  и здравственом сектору / заводи / фондови здравственог осигурања, клинички центри)</w:t>
      </w:r>
      <w:r w:rsidR="00F0047D">
        <w:rPr>
          <w:rFonts w:cs="Times New Roman"/>
          <w:color w:val="000000"/>
          <w:lang w:val="hr-HR" w:eastAsia="bs-Latn-BA"/>
        </w:rPr>
        <w:t xml:space="preserve">. </w:t>
      </w:r>
    </w:p>
    <w:p w:rsidR="001C36F9" w:rsidRDefault="001C36F9" w:rsidP="003E4674">
      <w:pPr>
        <w:spacing w:after="0" w:line="240" w:lineRule="auto"/>
        <w:jc w:val="both"/>
        <w:rPr>
          <w:rFonts w:cs="Times New Roman"/>
          <w:color w:val="000000"/>
          <w:lang w:val="hr-HR" w:eastAsia="bs-Latn-BA"/>
        </w:rPr>
      </w:pPr>
    </w:p>
    <w:p w:rsidR="00692150" w:rsidRDefault="00F76E23" w:rsidP="00692150">
      <w:pPr>
        <w:tabs>
          <w:tab w:val="left" w:pos="2085"/>
        </w:tabs>
        <w:spacing w:after="0" w:line="240" w:lineRule="auto"/>
        <w:jc w:val="center"/>
        <w:rPr>
          <w:rFonts w:cs="Times New Roman"/>
          <w:b/>
          <w:noProof/>
          <w:color w:val="000000"/>
          <w:lang w:eastAsia="bs-Latn-BA"/>
        </w:rPr>
      </w:pPr>
      <w:r>
        <w:rPr>
          <w:noProof/>
          <w:lang w:eastAsia="bs-Latn-BA"/>
        </w:rPr>
        <w:drawing>
          <wp:inline distT="0" distB="0" distL="0" distR="0" wp14:anchorId="322DF128" wp14:editId="5C1CC987">
            <wp:extent cx="4391025" cy="18954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B4629" w:rsidRDefault="006B4629" w:rsidP="00692150">
      <w:pPr>
        <w:tabs>
          <w:tab w:val="left" w:pos="2085"/>
        </w:tabs>
        <w:spacing w:after="0" w:line="240" w:lineRule="auto"/>
        <w:jc w:val="center"/>
        <w:rPr>
          <w:rFonts w:cs="Times New Roman"/>
          <w:b/>
          <w:noProof/>
          <w:color w:val="000000"/>
          <w:lang w:eastAsia="bs-Latn-BA"/>
        </w:rPr>
      </w:pPr>
    </w:p>
    <w:p w:rsidR="00DE2848" w:rsidRDefault="00DE2848" w:rsidP="0005520C">
      <w:pPr>
        <w:spacing w:after="0" w:line="240" w:lineRule="auto"/>
        <w:jc w:val="center"/>
        <w:rPr>
          <w:rFonts w:cs="Times New Roman"/>
          <w:b/>
          <w:color w:val="000000"/>
          <w:lang w:val="hr-HR" w:eastAsia="bs-Latn-BA"/>
        </w:rPr>
      </w:pPr>
    </w:p>
    <w:p w:rsidR="00F773AF" w:rsidRDefault="00F82FDC" w:rsidP="006B4629">
      <w:pPr>
        <w:spacing w:after="0" w:line="240" w:lineRule="auto"/>
        <w:jc w:val="both"/>
        <w:rPr>
          <w:rFonts w:cs="Times New Roman"/>
          <w:color w:val="000000"/>
          <w:lang w:val="hr-HR" w:eastAsia="bs-Latn-BA"/>
        </w:rPr>
      </w:pPr>
      <w:r w:rsidRPr="00F82FDC">
        <w:rPr>
          <w:rFonts w:cs="Times New Roman"/>
          <w:color w:val="000000"/>
          <w:lang w:val="hr-HR" w:eastAsia="bs-Latn-BA"/>
        </w:rPr>
        <w:t xml:space="preserve">Посматрањем преговарачких поступака без објаве обавјештења по предмету набавке, уочава се да преовладавају услуге. Анализом предмета набавке услуга уочено је да набавка надоградња и одржавање </w:t>
      </w:r>
      <w:r w:rsidR="0068563F">
        <w:rPr>
          <w:rFonts w:cs="Times New Roman"/>
          <w:color w:val="000000"/>
          <w:lang w:val="sr-Cyrl-BA" w:eastAsia="bs-Latn-BA"/>
        </w:rPr>
        <w:t>софтвера</w:t>
      </w:r>
      <w:r w:rsidR="0068563F">
        <w:rPr>
          <w:rFonts w:cs="Times New Roman"/>
          <w:color w:val="000000"/>
          <w:lang w:val="hr-HR" w:eastAsia="bs-Latn-BA"/>
        </w:rPr>
        <w:t xml:space="preserve"> је најзаступљенија код додј</w:t>
      </w:r>
      <w:r w:rsidRPr="00F82FDC">
        <w:rPr>
          <w:rFonts w:cs="Times New Roman"/>
          <w:color w:val="000000"/>
          <w:lang w:val="hr-HR" w:eastAsia="bs-Latn-BA"/>
        </w:rPr>
        <w:t>еле уговора путем преговарачког поступка без објаве обавјештења</w:t>
      </w:r>
      <w:r w:rsidR="00F76E23" w:rsidRPr="00F82FDC">
        <w:rPr>
          <w:rFonts w:cs="Times New Roman"/>
          <w:color w:val="000000"/>
          <w:lang w:val="hr-HR" w:eastAsia="bs-Latn-BA"/>
        </w:rPr>
        <w:t>.</w:t>
      </w:r>
      <w:r w:rsidR="00F76E23">
        <w:rPr>
          <w:rFonts w:cs="Times New Roman"/>
          <w:color w:val="000000"/>
          <w:lang w:val="hr-HR" w:eastAsia="bs-Latn-BA"/>
        </w:rPr>
        <w:t xml:space="preserve"> </w:t>
      </w:r>
    </w:p>
    <w:p w:rsidR="0068563F" w:rsidRDefault="0068563F" w:rsidP="006B4629">
      <w:pPr>
        <w:spacing w:after="0" w:line="240" w:lineRule="auto"/>
        <w:jc w:val="both"/>
        <w:rPr>
          <w:rFonts w:cs="Times New Roman"/>
          <w:color w:val="000000"/>
          <w:lang w:val="hr-HR" w:eastAsia="bs-Latn-BA"/>
        </w:rPr>
      </w:pPr>
    </w:p>
    <w:p w:rsidR="0068563F" w:rsidRDefault="0068563F" w:rsidP="006B4629">
      <w:pPr>
        <w:spacing w:after="0" w:line="240" w:lineRule="auto"/>
        <w:jc w:val="both"/>
        <w:rPr>
          <w:rFonts w:cs="Times New Roman"/>
          <w:color w:val="000000"/>
          <w:lang w:val="hr-HR" w:eastAsia="bs-Latn-BA"/>
        </w:rPr>
      </w:pPr>
    </w:p>
    <w:p w:rsidR="0068563F" w:rsidRDefault="0068563F" w:rsidP="006B4629">
      <w:pPr>
        <w:spacing w:after="0" w:line="240" w:lineRule="auto"/>
        <w:jc w:val="both"/>
        <w:rPr>
          <w:rFonts w:cs="Times New Roman"/>
          <w:color w:val="000000"/>
          <w:lang w:val="hr-HR" w:eastAsia="bs-Latn-BA"/>
        </w:rPr>
      </w:pPr>
    </w:p>
    <w:p w:rsidR="0068563F" w:rsidRDefault="0068563F" w:rsidP="006B4629">
      <w:pPr>
        <w:spacing w:after="0" w:line="240" w:lineRule="auto"/>
        <w:jc w:val="both"/>
        <w:rPr>
          <w:rFonts w:cs="Times New Roman"/>
          <w:color w:val="000000"/>
          <w:lang w:val="hr-HR" w:eastAsia="bs-Latn-BA"/>
        </w:rPr>
      </w:pPr>
    </w:p>
    <w:p w:rsidR="0068563F" w:rsidRDefault="0068563F" w:rsidP="006B4629">
      <w:pPr>
        <w:spacing w:after="0" w:line="240" w:lineRule="auto"/>
        <w:jc w:val="both"/>
        <w:rPr>
          <w:rFonts w:cs="Times New Roman"/>
          <w:color w:val="000000"/>
          <w:lang w:val="hr-HR" w:eastAsia="bs-Latn-BA"/>
        </w:rPr>
      </w:pPr>
    </w:p>
    <w:p w:rsidR="0068563F" w:rsidRDefault="0068563F" w:rsidP="006B4629">
      <w:pPr>
        <w:spacing w:after="0" w:line="240" w:lineRule="auto"/>
        <w:jc w:val="both"/>
        <w:rPr>
          <w:rFonts w:cs="Times New Roman"/>
          <w:color w:val="000000"/>
          <w:lang w:val="hr-HR" w:eastAsia="bs-Latn-BA"/>
        </w:rPr>
      </w:pPr>
    </w:p>
    <w:p w:rsidR="0068563F" w:rsidRDefault="0068563F" w:rsidP="006B4629">
      <w:pPr>
        <w:spacing w:after="0" w:line="240" w:lineRule="auto"/>
        <w:jc w:val="both"/>
        <w:rPr>
          <w:rFonts w:cs="Times New Roman"/>
          <w:color w:val="000000"/>
          <w:lang w:val="hr-HR" w:eastAsia="bs-Latn-BA"/>
        </w:rPr>
      </w:pPr>
    </w:p>
    <w:p w:rsidR="0068563F" w:rsidRDefault="0068563F" w:rsidP="006B4629">
      <w:pPr>
        <w:spacing w:after="0" w:line="240" w:lineRule="auto"/>
        <w:jc w:val="both"/>
        <w:rPr>
          <w:rFonts w:cs="Times New Roman"/>
          <w:color w:val="000000"/>
          <w:lang w:val="hr-HR" w:eastAsia="bs-Latn-BA"/>
        </w:rPr>
      </w:pPr>
    </w:p>
    <w:p w:rsidR="0068563F" w:rsidRDefault="0068563F" w:rsidP="006B4629">
      <w:pPr>
        <w:spacing w:after="0" w:line="240" w:lineRule="auto"/>
        <w:jc w:val="both"/>
        <w:rPr>
          <w:rFonts w:cs="Times New Roman"/>
          <w:color w:val="000000"/>
          <w:lang w:val="hr-HR" w:eastAsia="bs-Latn-BA"/>
        </w:rPr>
      </w:pPr>
    </w:p>
    <w:p w:rsidR="0068563F" w:rsidRDefault="0068563F" w:rsidP="006B4629">
      <w:pPr>
        <w:spacing w:after="0" w:line="240" w:lineRule="auto"/>
        <w:jc w:val="both"/>
        <w:rPr>
          <w:rFonts w:cs="Times New Roman"/>
          <w:color w:val="000000"/>
          <w:lang w:val="hr-HR" w:eastAsia="bs-Latn-BA"/>
        </w:rPr>
      </w:pPr>
    </w:p>
    <w:p w:rsidR="0068563F" w:rsidRDefault="0068563F" w:rsidP="006B4629">
      <w:pPr>
        <w:spacing w:after="0" w:line="240" w:lineRule="auto"/>
        <w:jc w:val="both"/>
        <w:rPr>
          <w:rFonts w:cs="Times New Roman"/>
          <w:color w:val="000000"/>
          <w:lang w:val="hr-HR" w:eastAsia="bs-Latn-BA"/>
        </w:rPr>
      </w:pPr>
    </w:p>
    <w:p w:rsidR="0068563F" w:rsidRDefault="0068563F" w:rsidP="006B4629">
      <w:pPr>
        <w:spacing w:after="0" w:line="240" w:lineRule="auto"/>
        <w:jc w:val="both"/>
        <w:rPr>
          <w:rFonts w:cs="Times New Roman"/>
          <w:color w:val="000000"/>
          <w:lang w:val="hr-HR" w:eastAsia="bs-Latn-BA"/>
        </w:rPr>
      </w:pPr>
    </w:p>
    <w:p w:rsidR="0068563F" w:rsidRDefault="0068563F" w:rsidP="006B4629">
      <w:pPr>
        <w:spacing w:after="0" w:line="240" w:lineRule="auto"/>
        <w:jc w:val="both"/>
        <w:rPr>
          <w:rFonts w:cs="Times New Roman"/>
          <w:color w:val="000000"/>
          <w:lang w:val="hr-HR" w:eastAsia="bs-Latn-BA"/>
        </w:rPr>
      </w:pPr>
    </w:p>
    <w:p w:rsidR="0068563F" w:rsidRDefault="0068563F" w:rsidP="006B4629">
      <w:pPr>
        <w:spacing w:after="0" w:line="240" w:lineRule="auto"/>
        <w:jc w:val="both"/>
        <w:rPr>
          <w:rFonts w:cs="Times New Roman"/>
          <w:color w:val="000000"/>
          <w:lang w:val="hr-HR" w:eastAsia="bs-Latn-BA"/>
        </w:rPr>
      </w:pPr>
    </w:p>
    <w:p w:rsidR="0068563F" w:rsidRDefault="0068563F" w:rsidP="006B4629">
      <w:pPr>
        <w:spacing w:after="0" w:line="240" w:lineRule="auto"/>
        <w:jc w:val="both"/>
        <w:rPr>
          <w:rFonts w:cs="Times New Roman"/>
          <w:color w:val="000000"/>
          <w:lang w:val="hr-HR" w:eastAsia="bs-Latn-BA"/>
        </w:rPr>
      </w:pPr>
    </w:p>
    <w:p w:rsidR="0068563F" w:rsidRDefault="0068563F" w:rsidP="006B4629">
      <w:pPr>
        <w:spacing w:after="0" w:line="240" w:lineRule="auto"/>
        <w:jc w:val="both"/>
        <w:rPr>
          <w:rFonts w:cs="Times New Roman"/>
          <w:color w:val="000000"/>
          <w:lang w:val="hr-HR" w:eastAsia="bs-Latn-BA"/>
        </w:rPr>
      </w:pPr>
    </w:p>
    <w:p w:rsidR="00BA1F5B" w:rsidRDefault="00BA1F5B" w:rsidP="006B4629">
      <w:pPr>
        <w:spacing w:after="0" w:line="240" w:lineRule="auto"/>
        <w:jc w:val="both"/>
        <w:rPr>
          <w:rFonts w:cs="Times New Roman"/>
          <w:color w:val="000000"/>
          <w:lang w:val="hr-HR" w:eastAsia="bs-Latn-BA"/>
        </w:rPr>
      </w:pPr>
    </w:p>
    <w:p w:rsidR="00E471AE" w:rsidRDefault="00F82FDC" w:rsidP="00FA352A">
      <w:pPr>
        <w:pStyle w:val="ListParagraph"/>
        <w:numPr>
          <w:ilvl w:val="0"/>
          <w:numId w:val="16"/>
        </w:numPr>
        <w:spacing w:after="0" w:line="240" w:lineRule="auto"/>
        <w:rPr>
          <w:rFonts w:cs="Times New Roman"/>
          <w:b/>
          <w:color w:val="000000"/>
          <w:lang w:val="hr-HR" w:eastAsia="bs-Latn-BA"/>
        </w:rPr>
      </w:pPr>
      <w:r>
        <w:rPr>
          <w:rFonts w:cs="Times New Roman"/>
          <w:b/>
          <w:color w:val="000000"/>
          <w:lang w:val="sr-Cyrl-BA" w:eastAsia="bs-Latn-BA"/>
        </w:rPr>
        <w:lastRenderedPageBreak/>
        <w:t xml:space="preserve">Учешће броја преговарачких поступка без објаве обавјештења по нивоима власти </w:t>
      </w:r>
    </w:p>
    <w:p w:rsidR="00207EA0" w:rsidRDefault="00207EA0" w:rsidP="00DE2848">
      <w:pPr>
        <w:spacing w:after="0" w:line="240" w:lineRule="auto"/>
        <w:jc w:val="both"/>
        <w:rPr>
          <w:rFonts w:cs="Times New Roman"/>
          <w:b/>
          <w:color w:val="000000"/>
          <w:lang w:val="hr-HR" w:eastAsia="bs-Latn-BA"/>
        </w:rPr>
      </w:pPr>
    </w:p>
    <w:p w:rsidR="00E471AE" w:rsidRDefault="00E471AE" w:rsidP="009A2581">
      <w:pPr>
        <w:spacing w:after="0" w:line="240" w:lineRule="auto"/>
        <w:jc w:val="center"/>
        <w:rPr>
          <w:rFonts w:cs="Times New Roman"/>
          <w:b/>
          <w:color w:val="000000"/>
          <w:lang w:val="hr-HR" w:eastAsia="bs-Latn-BA"/>
        </w:rPr>
      </w:pPr>
    </w:p>
    <w:p w:rsidR="00E471AE" w:rsidRDefault="009A2581" w:rsidP="009A2581">
      <w:pPr>
        <w:spacing w:after="0" w:line="240" w:lineRule="auto"/>
        <w:jc w:val="center"/>
        <w:rPr>
          <w:rFonts w:cs="Times New Roman"/>
          <w:b/>
          <w:color w:val="000000"/>
          <w:lang w:val="hr-HR" w:eastAsia="bs-Latn-BA"/>
        </w:rPr>
      </w:pPr>
      <w:r>
        <w:rPr>
          <w:noProof/>
          <w:lang w:eastAsia="bs-Latn-BA"/>
        </w:rPr>
        <w:drawing>
          <wp:inline distT="0" distB="0" distL="0" distR="0" wp14:anchorId="7B251E90" wp14:editId="5A12732C">
            <wp:extent cx="4572000" cy="252412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500B7" w:rsidRDefault="000500B7" w:rsidP="00DE2848">
      <w:pPr>
        <w:spacing w:after="0" w:line="240" w:lineRule="auto"/>
        <w:jc w:val="both"/>
        <w:rPr>
          <w:rFonts w:cs="Times New Roman"/>
          <w:b/>
          <w:color w:val="000000"/>
          <w:lang w:val="hr-HR" w:eastAsia="bs-Latn-BA"/>
        </w:rPr>
      </w:pPr>
    </w:p>
    <w:p w:rsidR="00DE2848" w:rsidRDefault="007A19A3" w:rsidP="00B42ECB">
      <w:pPr>
        <w:spacing w:after="0" w:line="240" w:lineRule="auto"/>
        <w:jc w:val="center"/>
        <w:rPr>
          <w:rFonts w:cs="Times New Roman"/>
          <w:b/>
          <w:color w:val="000000"/>
          <w:lang w:val="hr-HR" w:eastAsia="bs-Latn-BA"/>
        </w:rPr>
      </w:pPr>
      <w:r>
        <w:rPr>
          <w:noProof/>
          <w:lang w:eastAsia="bs-Latn-BA"/>
        </w:rPr>
        <w:drawing>
          <wp:inline distT="0" distB="0" distL="0" distR="0" wp14:anchorId="1232B079" wp14:editId="11402741">
            <wp:extent cx="4572000" cy="2600325"/>
            <wp:effectExtent l="0" t="0" r="1905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42ECB" w:rsidRDefault="00B42ECB" w:rsidP="00B42ECB">
      <w:pPr>
        <w:spacing w:after="0" w:line="240" w:lineRule="auto"/>
        <w:jc w:val="center"/>
        <w:rPr>
          <w:rFonts w:cs="Times New Roman"/>
          <w:b/>
          <w:color w:val="000000"/>
          <w:lang w:val="hr-HR" w:eastAsia="bs-Latn-BA"/>
        </w:rPr>
      </w:pPr>
    </w:p>
    <w:p w:rsidR="00B42ECB" w:rsidRDefault="00B42ECB" w:rsidP="00B42ECB">
      <w:pPr>
        <w:spacing w:after="0" w:line="240" w:lineRule="auto"/>
        <w:jc w:val="center"/>
        <w:rPr>
          <w:rFonts w:cs="Times New Roman"/>
          <w:b/>
          <w:color w:val="000000"/>
          <w:lang w:val="hr-HR" w:eastAsia="bs-Latn-BA"/>
        </w:rPr>
      </w:pPr>
    </w:p>
    <w:tbl>
      <w:tblPr>
        <w:tblW w:w="9195" w:type="dxa"/>
        <w:tblInd w:w="93" w:type="dxa"/>
        <w:tblLook w:val="04A0" w:firstRow="1" w:lastRow="0" w:firstColumn="1" w:lastColumn="0" w:noHBand="0" w:noVBand="1"/>
      </w:tblPr>
      <w:tblGrid>
        <w:gridCol w:w="1424"/>
        <w:gridCol w:w="1077"/>
        <w:gridCol w:w="1329"/>
        <w:gridCol w:w="1210"/>
        <w:gridCol w:w="997"/>
        <w:gridCol w:w="996"/>
        <w:gridCol w:w="1172"/>
        <w:gridCol w:w="1230"/>
      </w:tblGrid>
      <w:tr w:rsidR="00F82FDC" w:rsidRPr="00B42ECB" w:rsidTr="00F82FDC">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FDC" w:rsidRPr="00853D2E" w:rsidRDefault="00F82FDC" w:rsidP="00F82FDC">
            <w:pPr>
              <w:jc w:val="center"/>
            </w:pPr>
            <w:r w:rsidRPr="00853D2E">
              <w:t>Босна и Херцеговина</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F82FDC" w:rsidRPr="00853D2E" w:rsidRDefault="00F82FDC" w:rsidP="00F82FDC">
            <w:pPr>
              <w:jc w:val="center"/>
            </w:pPr>
            <w:r w:rsidRPr="00853D2E">
              <w:t>Брчко Дистрикт БиХ</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F82FDC" w:rsidRPr="00853D2E" w:rsidRDefault="00F82FDC" w:rsidP="00F82FDC">
            <w:pPr>
              <w:jc w:val="center"/>
            </w:pPr>
            <w:r w:rsidRPr="00853D2E">
              <w:t>Федерација БиХ</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F82FDC" w:rsidRPr="00853D2E" w:rsidRDefault="00F82FDC" w:rsidP="00F82FDC">
            <w:pPr>
              <w:jc w:val="center"/>
            </w:pPr>
            <w:r w:rsidRPr="00853D2E">
              <w:t>Република Српска</w:t>
            </w:r>
          </w:p>
        </w:tc>
        <w:tc>
          <w:tcPr>
            <w:tcW w:w="962" w:type="dxa"/>
            <w:tcBorders>
              <w:top w:val="single" w:sz="4" w:space="0" w:color="auto"/>
              <w:left w:val="nil"/>
              <w:bottom w:val="single" w:sz="4" w:space="0" w:color="auto"/>
              <w:right w:val="single" w:sz="4" w:space="0" w:color="auto"/>
            </w:tcBorders>
            <w:shd w:val="clear" w:color="auto" w:fill="auto"/>
            <w:noWrap/>
            <w:vAlign w:val="center"/>
            <w:hideMark/>
          </w:tcPr>
          <w:p w:rsidR="00F82FDC" w:rsidRPr="00853D2E" w:rsidRDefault="00F82FDC" w:rsidP="00F82FDC">
            <w:pPr>
              <w:jc w:val="center"/>
            </w:pPr>
            <w:r w:rsidRPr="00853D2E">
              <w:t>Кантони</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F82FDC" w:rsidRPr="00853D2E" w:rsidRDefault="00F82FDC" w:rsidP="00F82FDC">
            <w:pPr>
              <w:jc w:val="center"/>
            </w:pPr>
            <w:r w:rsidRPr="00853D2E">
              <w:t>Град</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rsidR="00F82FDC" w:rsidRPr="00853D2E" w:rsidRDefault="00F82FDC" w:rsidP="00F82FDC">
            <w:pPr>
              <w:jc w:val="center"/>
            </w:pPr>
            <w:r w:rsidRPr="00853D2E">
              <w:t>Општине</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F82FDC" w:rsidRDefault="00F82FDC" w:rsidP="00F82FDC">
            <w:pPr>
              <w:jc w:val="center"/>
            </w:pPr>
            <w:r w:rsidRPr="00853D2E">
              <w:t>Тотал</w:t>
            </w:r>
          </w:p>
        </w:tc>
      </w:tr>
      <w:tr w:rsidR="00B42ECB" w:rsidRPr="00B42ECB" w:rsidTr="00B42EC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42ECB" w:rsidRPr="00B42ECB" w:rsidRDefault="00B42ECB" w:rsidP="007A19A3">
            <w:pPr>
              <w:spacing w:after="0" w:line="240" w:lineRule="auto"/>
              <w:jc w:val="center"/>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85</w:t>
            </w:r>
          </w:p>
        </w:tc>
        <w:tc>
          <w:tcPr>
            <w:tcW w:w="1052"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7A19A3">
            <w:pPr>
              <w:spacing w:after="0" w:line="240" w:lineRule="auto"/>
              <w:jc w:val="center"/>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46</w:t>
            </w:r>
          </w:p>
        </w:tc>
        <w:tc>
          <w:tcPr>
            <w:tcW w:w="1200"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7A19A3">
            <w:pPr>
              <w:spacing w:after="0" w:line="240" w:lineRule="auto"/>
              <w:jc w:val="center"/>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268</w:t>
            </w:r>
          </w:p>
        </w:tc>
        <w:tc>
          <w:tcPr>
            <w:tcW w:w="1163"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7A19A3">
            <w:pPr>
              <w:spacing w:after="0" w:line="240" w:lineRule="auto"/>
              <w:jc w:val="center"/>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415</w:t>
            </w:r>
          </w:p>
        </w:tc>
        <w:tc>
          <w:tcPr>
            <w:tcW w:w="962"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7A19A3">
            <w:pPr>
              <w:spacing w:after="0" w:line="240" w:lineRule="auto"/>
              <w:jc w:val="center"/>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231</w:t>
            </w:r>
          </w:p>
        </w:tc>
        <w:tc>
          <w:tcPr>
            <w:tcW w:w="996"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7A19A3">
            <w:pPr>
              <w:spacing w:after="0" w:line="240" w:lineRule="auto"/>
              <w:jc w:val="center"/>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160</w:t>
            </w:r>
          </w:p>
        </w:tc>
        <w:tc>
          <w:tcPr>
            <w:tcW w:w="1172"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7A19A3">
            <w:pPr>
              <w:spacing w:after="0" w:line="240" w:lineRule="auto"/>
              <w:jc w:val="center"/>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341</w:t>
            </w:r>
          </w:p>
        </w:tc>
        <w:tc>
          <w:tcPr>
            <w:tcW w:w="1230"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7A19A3">
            <w:pPr>
              <w:spacing w:after="0" w:line="240" w:lineRule="auto"/>
              <w:jc w:val="center"/>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1546</w:t>
            </w:r>
          </w:p>
        </w:tc>
      </w:tr>
      <w:tr w:rsidR="00B42ECB" w:rsidRPr="00B42ECB" w:rsidTr="00B42EC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42ECB" w:rsidRPr="00B42ECB" w:rsidRDefault="00B42ECB" w:rsidP="00B42ECB">
            <w:pPr>
              <w:spacing w:after="0" w:line="240" w:lineRule="auto"/>
              <w:jc w:val="right"/>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5,50%</w:t>
            </w:r>
          </w:p>
        </w:tc>
        <w:tc>
          <w:tcPr>
            <w:tcW w:w="1052"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B42ECB">
            <w:pPr>
              <w:spacing w:after="0" w:line="240" w:lineRule="auto"/>
              <w:jc w:val="right"/>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2,97%</w:t>
            </w:r>
          </w:p>
        </w:tc>
        <w:tc>
          <w:tcPr>
            <w:tcW w:w="1200"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B42ECB">
            <w:pPr>
              <w:spacing w:after="0" w:line="240" w:lineRule="auto"/>
              <w:jc w:val="right"/>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17,33%</w:t>
            </w:r>
          </w:p>
        </w:tc>
        <w:tc>
          <w:tcPr>
            <w:tcW w:w="1163"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B42ECB">
            <w:pPr>
              <w:spacing w:after="0" w:line="240" w:lineRule="auto"/>
              <w:jc w:val="right"/>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26,84%</w:t>
            </w:r>
          </w:p>
        </w:tc>
        <w:tc>
          <w:tcPr>
            <w:tcW w:w="962"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B42ECB">
            <w:pPr>
              <w:spacing w:after="0" w:line="240" w:lineRule="auto"/>
              <w:jc w:val="right"/>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14,94%</w:t>
            </w:r>
          </w:p>
        </w:tc>
        <w:tc>
          <w:tcPr>
            <w:tcW w:w="996"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B42ECB">
            <w:pPr>
              <w:spacing w:after="0" w:line="240" w:lineRule="auto"/>
              <w:jc w:val="right"/>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10,35%</w:t>
            </w:r>
          </w:p>
        </w:tc>
        <w:tc>
          <w:tcPr>
            <w:tcW w:w="1172"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B42ECB">
            <w:pPr>
              <w:spacing w:after="0" w:line="240" w:lineRule="auto"/>
              <w:jc w:val="right"/>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22,07%</w:t>
            </w:r>
          </w:p>
        </w:tc>
        <w:tc>
          <w:tcPr>
            <w:tcW w:w="1230"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B42ECB">
            <w:pPr>
              <w:spacing w:after="0" w:line="240" w:lineRule="auto"/>
              <w:jc w:val="right"/>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100,00%</w:t>
            </w:r>
          </w:p>
        </w:tc>
      </w:tr>
    </w:tbl>
    <w:p w:rsidR="00B42ECB" w:rsidRDefault="00B42ECB" w:rsidP="00B42ECB">
      <w:pPr>
        <w:spacing w:after="0" w:line="240" w:lineRule="auto"/>
        <w:jc w:val="center"/>
        <w:rPr>
          <w:rFonts w:cs="Times New Roman"/>
          <w:b/>
          <w:color w:val="000000"/>
          <w:lang w:val="hr-HR" w:eastAsia="bs-Latn-BA"/>
        </w:rPr>
      </w:pPr>
    </w:p>
    <w:p w:rsidR="00B42ECB" w:rsidRDefault="00B42ECB" w:rsidP="00F0047D">
      <w:pPr>
        <w:spacing w:after="0" w:line="240" w:lineRule="auto"/>
        <w:rPr>
          <w:rFonts w:cs="Times New Roman"/>
          <w:color w:val="000000"/>
          <w:lang w:val="hr-HR" w:eastAsia="bs-Latn-BA"/>
        </w:rPr>
      </w:pPr>
    </w:p>
    <w:p w:rsidR="0068563F" w:rsidRDefault="0068563F" w:rsidP="00F0047D">
      <w:pPr>
        <w:spacing w:after="0" w:line="240" w:lineRule="auto"/>
        <w:rPr>
          <w:rFonts w:cs="Times New Roman"/>
          <w:color w:val="000000"/>
          <w:lang w:val="hr-HR" w:eastAsia="bs-Latn-BA"/>
        </w:rPr>
      </w:pPr>
    </w:p>
    <w:p w:rsidR="0068563F" w:rsidRDefault="0068563F" w:rsidP="00F0047D">
      <w:pPr>
        <w:spacing w:after="0" w:line="240" w:lineRule="auto"/>
        <w:rPr>
          <w:rFonts w:cs="Times New Roman"/>
          <w:color w:val="000000"/>
          <w:lang w:val="hr-HR" w:eastAsia="bs-Latn-BA"/>
        </w:rPr>
      </w:pPr>
    </w:p>
    <w:p w:rsidR="0068563F" w:rsidRDefault="0068563F" w:rsidP="00F0047D">
      <w:pPr>
        <w:spacing w:after="0" w:line="240" w:lineRule="auto"/>
        <w:rPr>
          <w:rFonts w:cs="Times New Roman"/>
          <w:color w:val="000000"/>
          <w:lang w:val="hr-HR" w:eastAsia="bs-Latn-BA"/>
        </w:rPr>
      </w:pPr>
    </w:p>
    <w:p w:rsidR="0068563F" w:rsidRDefault="0068563F" w:rsidP="00F0047D">
      <w:pPr>
        <w:spacing w:after="0" w:line="240" w:lineRule="auto"/>
        <w:rPr>
          <w:rFonts w:cs="Times New Roman"/>
          <w:color w:val="000000"/>
          <w:lang w:val="hr-HR" w:eastAsia="bs-Latn-BA"/>
        </w:rPr>
      </w:pPr>
    </w:p>
    <w:p w:rsidR="0068563F" w:rsidRDefault="0068563F" w:rsidP="00F0047D">
      <w:pPr>
        <w:spacing w:after="0" w:line="240" w:lineRule="auto"/>
        <w:rPr>
          <w:rFonts w:cs="Times New Roman"/>
          <w:color w:val="000000"/>
          <w:lang w:val="hr-HR" w:eastAsia="bs-Latn-BA"/>
        </w:rPr>
      </w:pPr>
    </w:p>
    <w:p w:rsidR="0068563F" w:rsidRPr="00F0047D" w:rsidRDefault="0068563F" w:rsidP="00F0047D">
      <w:pPr>
        <w:spacing w:after="0" w:line="240" w:lineRule="auto"/>
        <w:rPr>
          <w:rFonts w:cs="Times New Roman"/>
          <w:color w:val="000000"/>
          <w:lang w:val="hr-HR" w:eastAsia="bs-Latn-BA"/>
        </w:rPr>
      </w:pPr>
    </w:p>
    <w:p w:rsidR="000500B7" w:rsidRDefault="004A1D41" w:rsidP="004A1D41">
      <w:pPr>
        <w:spacing w:after="0" w:line="240" w:lineRule="auto"/>
        <w:ind w:left="709" w:hanging="283"/>
        <w:jc w:val="both"/>
        <w:rPr>
          <w:rFonts w:cs="Times New Roman"/>
          <w:color w:val="000000"/>
          <w:lang w:val="hr-HR" w:eastAsia="bs-Latn-BA"/>
        </w:rPr>
      </w:pPr>
      <w:r w:rsidRPr="004A1D41">
        <w:rPr>
          <w:rFonts w:cs="Times New Roman"/>
          <w:b/>
          <w:color w:val="000000"/>
          <w:lang w:val="hr-HR" w:eastAsia="bs-Latn-BA"/>
        </w:rPr>
        <w:lastRenderedPageBreak/>
        <w:t>б)</w:t>
      </w:r>
      <w:r w:rsidRPr="004A1D41">
        <w:rPr>
          <w:rFonts w:cs="Times New Roman"/>
          <w:b/>
          <w:color w:val="000000"/>
          <w:lang w:val="hr-HR" w:eastAsia="bs-Latn-BA"/>
        </w:rPr>
        <w:tab/>
        <w:t>Учешће преговарачких поступака без објаве обавјештења по члановима Закона о јавним набавкама</w:t>
      </w:r>
    </w:p>
    <w:p w:rsidR="00EF60C0" w:rsidRDefault="008C2CBC" w:rsidP="00EF60C0">
      <w:pPr>
        <w:spacing w:after="0" w:line="240" w:lineRule="auto"/>
        <w:jc w:val="center"/>
        <w:rPr>
          <w:rFonts w:cs="Times New Roman"/>
          <w:color w:val="000000"/>
          <w:lang w:val="hr-HR" w:eastAsia="bs-Latn-BA"/>
        </w:rPr>
      </w:pPr>
      <w:r w:rsidRPr="008C2CBC">
        <w:rPr>
          <w:rFonts w:cs="Times New Roman"/>
          <w:noProof/>
          <w:color w:val="000000"/>
          <w:lang w:eastAsia="bs-Latn-BA"/>
        </w:rPr>
        <w:drawing>
          <wp:inline distT="0" distB="0" distL="0" distR="0" wp14:anchorId="7DE1C987" wp14:editId="59FD4544">
            <wp:extent cx="4810125" cy="28098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F60C0" w:rsidRDefault="002B5F36" w:rsidP="00EF60C0">
      <w:pPr>
        <w:spacing w:after="0" w:line="240" w:lineRule="auto"/>
        <w:jc w:val="center"/>
        <w:rPr>
          <w:rFonts w:cs="Times New Roman"/>
          <w:color w:val="000000"/>
          <w:lang w:val="hr-HR" w:eastAsia="bs-Latn-BA"/>
        </w:rPr>
      </w:pPr>
      <w:r w:rsidRPr="00FA352A">
        <w:rPr>
          <w:noProof/>
          <w:lang w:eastAsia="bs-Latn-BA"/>
        </w:rPr>
        <w:drawing>
          <wp:inline distT="0" distB="0" distL="0" distR="0" wp14:anchorId="05BFC51D" wp14:editId="28F9A435">
            <wp:extent cx="4000500" cy="197167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F60C0" w:rsidRDefault="00EF60C0" w:rsidP="00EF60C0">
      <w:pPr>
        <w:spacing w:after="0" w:line="240" w:lineRule="auto"/>
        <w:jc w:val="center"/>
        <w:rPr>
          <w:rFonts w:cs="Times New Roman"/>
          <w:color w:val="000000"/>
          <w:lang w:val="hr-HR" w:eastAsia="bs-Latn-BA"/>
        </w:rPr>
      </w:pPr>
    </w:p>
    <w:p w:rsidR="00EF60C0" w:rsidRDefault="00EF60C0" w:rsidP="00EF60C0">
      <w:pPr>
        <w:spacing w:after="0" w:line="240" w:lineRule="auto"/>
        <w:jc w:val="center"/>
        <w:rPr>
          <w:rFonts w:cs="Times New Roman"/>
          <w:color w:val="000000"/>
          <w:lang w:val="hr-HR" w:eastAsia="bs-Latn-BA"/>
        </w:rPr>
      </w:pPr>
    </w:p>
    <w:p w:rsidR="007A19A3" w:rsidRDefault="007A19A3" w:rsidP="00EF60C0">
      <w:pPr>
        <w:spacing w:after="0" w:line="240" w:lineRule="auto"/>
        <w:jc w:val="center"/>
        <w:rPr>
          <w:rFonts w:cs="Times New Roman"/>
          <w:color w:val="000000"/>
          <w:lang w:val="hr-HR" w:eastAsia="bs-Latn-BA"/>
        </w:rPr>
      </w:pPr>
    </w:p>
    <w:p w:rsidR="007A19A3" w:rsidRDefault="007A19A3" w:rsidP="00EF60C0">
      <w:pPr>
        <w:spacing w:after="0" w:line="240" w:lineRule="auto"/>
        <w:jc w:val="center"/>
        <w:rPr>
          <w:rFonts w:cs="Times New Roman"/>
          <w:color w:val="000000"/>
          <w:lang w:val="hr-HR" w:eastAsia="bs-Latn-BA"/>
        </w:rPr>
      </w:pPr>
      <w:r>
        <w:rPr>
          <w:noProof/>
          <w:lang w:eastAsia="bs-Latn-BA"/>
        </w:rPr>
        <w:drawing>
          <wp:inline distT="0" distB="0" distL="0" distR="0" wp14:anchorId="206EA631" wp14:editId="4FEA5D3F">
            <wp:extent cx="4572000" cy="264795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A19A3" w:rsidRDefault="007A19A3" w:rsidP="00EF60C0">
      <w:pPr>
        <w:spacing w:after="0" w:line="240" w:lineRule="auto"/>
        <w:jc w:val="center"/>
        <w:rPr>
          <w:rFonts w:cs="Times New Roman"/>
          <w:color w:val="000000"/>
          <w:lang w:val="hr-HR" w:eastAsia="bs-Latn-BA"/>
        </w:rPr>
      </w:pPr>
    </w:p>
    <w:p w:rsidR="007A19A3" w:rsidRDefault="007A19A3" w:rsidP="00EF60C0">
      <w:pPr>
        <w:spacing w:after="0" w:line="240" w:lineRule="auto"/>
        <w:jc w:val="center"/>
        <w:rPr>
          <w:rFonts w:cs="Times New Roman"/>
          <w:color w:val="000000"/>
          <w:lang w:val="hr-HR" w:eastAsia="bs-Latn-BA"/>
        </w:rPr>
      </w:pPr>
    </w:p>
    <w:tbl>
      <w:tblPr>
        <w:tblW w:w="8257" w:type="dxa"/>
        <w:jc w:val="center"/>
        <w:tblLook w:val="04A0" w:firstRow="1" w:lastRow="0" w:firstColumn="1" w:lastColumn="0" w:noHBand="0" w:noVBand="1"/>
      </w:tblPr>
      <w:tblGrid>
        <w:gridCol w:w="1149"/>
        <w:gridCol w:w="1705"/>
        <w:gridCol w:w="1798"/>
        <w:gridCol w:w="1785"/>
        <w:gridCol w:w="1820"/>
      </w:tblGrid>
      <w:tr w:rsidR="004A1D41" w:rsidRPr="00FA352A" w:rsidTr="004A1D41">
        <w:trPr>
          <w:trHeight w:val="260"/>
          <w:jc w:val="center"/>
        </w:trPr>
        <w:tc>
          <w:tcPr>
            <w:tcW w:w="114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A1D41" w:rsidRPr="00FA352A" w:rsidRDefault="004A1D41" w:rsidP="004A1D41">
            <w:pPr>
              <w:spacing w:after="0" w:line="240" w:lineRule="auto"/>
              <w:rPr>
                <w:rFonts w:ascii="Arial" w:eastAsia="Times New Roman" w:hAnsi="Arial" w:cs="Arial"/>
                <w:color w:val="000000"/>
                <w:sz w:val="20"/>
                <w:szCs w:val="20"/>
                <w:lang w:eastAsia="bs-Latn-BA"/>
              </w:rPr>
            </w:pPr>
          </w:p>
        </w:tc>
        <w:tc>
          <w:tcPr>
            <w:tcW w:w="1705" w:type="dxa"/>
            <w:tcBorders>
              <w:top w:val="single" w:sz="8" w:space="0" w:color="auto"/>
              <w:left w:val="nil"/>
              <w:bottom w:val="single" w:sz="4" w:space="0" w:color="auto"/>
              <w:right w:val="single" w:sz="4" w:space="0" w:color="auto"/>
            </w:tcBorders>
            <w:shd w:val="clear" w:color="auto" w:fill="auto"/>
            <w:noWrap/>
            <w:vAlign w:val="center"/>
            <w:hideMark/>
          </w:tcPr>
          <w:p w:rsidR="004A1D41" w:rsidRPr="00C75CCD" w:rsidRDefault="004A1D41" w:rsidP="004A1D41">
            <w:pPr>
              <w:jc w:val="center"/>
            </w:pPr>
            <w:r>
              <w:t>Ч</w:t>
            </w:r>
            <w:r w:rsidRPr="00C75CCD">
              <w:t>лан 21 став (1)</w:t>
            </w:r>
          </w:p>
        </w:tc>
        <w:tc>
          <w:tcPr>
            <w:tcW w:w="1798" w:type="dxa"/>
            <w:tcBorders>
              <w:top w:val="single" w:sz="8" w:space="0" w:color="auto"/>
              <w:left w:val="nil"/>
              <w:bottom w:val="single" w:sz="4" w:space="0" w:color="auto"/>
              <w:right w:val="single" w:sz="4" w:space="0" w:color="auto"/>
            </w:tcBorders>
            <w:shd w:val="clear" w:color="auto" w:fill="auto"/>
            <w:noWrap/>
            <w:vAlign w:val="bottom"/>
            <w:hideMark/>
          </w:tcPr>
          <w:p w:rsidR="004A1D41" w:rsidRPr="00C75CCD" w:rsidRDefault="004A1D41" w:rsidP="004A1D41">
            <w:pPr>
              <w:jc w:val="center"/>
            </w:pPr>
            <w:r>
              <w:t>Ч</w:t>
            </w:r>
            <w:r w:rsidRPr="00C75CCD">
              <w:t>лан 22. став (1)</w:t>
            </w:r>
          </w:p>
        </w:tc>
        <w:tc>
          <w:tcPr>
            <w:tcW w:w="1785" w:type="dxa"/>
            <w:tcBorders>
              <w:top w:val="single" w:sz="8" w:space="0" w:color="auto"/>
              <w:left w:val="nil"/>
              <w:bottom w:val="single" w:sz="4" w:space="0" w:color="auto"/>
              <w:right w:val="single" w:sz="4" w:space="0" w:color="auto"/>
            </w:tcBorders>
            <w:shd w:val="clear" w:color="auto" w:fill="auto"/>
            <w:noWrap/>
            <w:vAlign w:val="bottom"/>
            <w:hideMark/>
          </w:tcPr>
          <w:p w:rsidR="004A1D41" w:rsidRPr="00C75CCD" w:rsidRDefault="004A1D41" w:rsidP="004A1D41">
            <w:pPr>
              <w:jc w:val="center"/>
            </w:pPr>
            <w:r>
              <w:t>Ч</w:t>
            </w:r>
            <w:r w:rsidRPr="00C75CCD">
              <w:t>лан 23. став (1)</w:t>
            </w:r>
          </w:p>
        </w:tc>
        <w:tc>
          <w:tcPr>
            <w:tcW w:w="1820" w:type="dxa"/>
            <w:tcBorders>
              <w:top w:val="single" w:sz="8" w:space="0" w:color="auto"/>
              <w:left w:val="nil"/>
              <w:bottom w:val="single" w:sz="4" w:space="0" w:color="auto"/>
              <w:right w:val="single" w:sz="8" w:space="0" w:color="auto"/>
            </w:tcBorders>
            <w:shd w:val="clear" w:color="auto" w:fill="auto"/>
            <w:noWrap/>
            <w:vAlign w:val="bottom"/>
            <w:hideMark/>
          </w:tcPr>
          <w:p w:rsidR="004A1D41" w:rsidRDefault="004A1D41" w:rsidP="004A1D41">
            <w:pPr>
              <w:jc w:val="center"/>
            </w:pPr>
            <w:r>
              <w:t>Ч</w:t>
            </w:r>
            <w:r w:rsidRPr="00C75CCD">
              <w:t>лан 24. став (1)</w:t>
            </w:r>
          </w:p>
        </w:tc>
      </w:tr>
      <w:tr w:rsidR="002B5F36" w:rsidRPr="00FA352A" w:rsidTr="004A1D41">
        <w:trPr>
          <w:trHeight w:val="260"/>
          <w:jc w:val="center"/>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2B5F36" w:rsidRPr="004A1D41" w:rsidRDefault="004A1D41" w:rsidP="00CD41B8">
            <w:pPr>
              <w:spacing w:after="0" w:line="240" w:lineRule="auto"/>
              <w:rPr>
                <w:rFonts w:ascii="Arial" w:eastAsia="Times New Roman" w:hAnsi="Arial" w:cs="Arial"/>
                <w:color w:val="000000"/>
                <w:sz w:val="20"/>
                <w:szCs w:val="20"/>
                <w:lang w:val="sr-Cyrl-BA" w:eastAsia="bs-Latn-BA"/>
              </w:rPr>
            </w:pPr>
            <w:r>
              <w:rPr>
                <w:rFonts w:ascii="Arial" w:eastAsia="Times New Roman" w:hAnsi="Arial" w:cs="Arial"/>
                <w:color w:val="000000"/>
                <w:sz w:val="20"/>
                <w:szCs w:val="20"/>
                <w:lang w:val="sr-Cyrl-BA" w:eastAsia="bs-Latn-BA"/>
              </w:rPr>
              <w:t>Тачка</w:t>
            </w:r>
            <w:r w:rsidR="002B5F36" w:rsidRPr="00FA352A">
              <w:rPr>
                <w:rFonts w:ascii="Arial" w:eastAsia="Times New Roman" w:hAnsi="Arial" w:cs="Arial"/>
                <w:color w:val="000000"/>
                <w:sz w:val="20"/>
                <w:szCs w:val="20"/>
                <w:lang w:eastAsia="bs-Latn-BA"/>
              </w:rPr>
              <w:t xml:space="preserve"> a)</w:t>
            </w:r>
          </w:p>
        </w:tc>
        <w:tc>
          <w:tcPr>
            <w:tcW w:w="1705" w:type="dxa"/>
            <w:tcBorders>
              <w:top w:val="nil"/>
              <w:left w:val="nil"/>
              <w:bottom w:val="single" w:sz="4" w:space="0" w:color="auto"/>
              <w:right w:val="single" w:sz="4" w:space="0" w:color="auto"/>
            </w:tcBorders>
            <w:shd w:val="clear" w:color="auto" w:fill="auto"/>
            <w:noWrap/>
            <w:vAlign w:val="bottom"/>
            <w:hideMark/>
          </w:tcPr>
          <w:p w:rsidR="002B5F36" w:rsidRPr="00FA352A" w:rsidRDefault="002B5F36" w:rsidP="00CD41B8">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226</w:t>
            </w:r>
          </w:p>
        </w:tc>
        <w:tc>
          <w:tcPr>
            <w:tcW w:w="1798" w:type="dxa"/>
            <w:tcBorders>
              <w:top w:val="nil"/>
              <w:left w:val="nil"/>
              <w:bottom w:val="single" w:sz="4" w:space="0" w:color="auto"/>
              <w:right w:val="single" w:sz="4" w:space="0" w:color="auto"/>
            </w:tcBorders>
            <w:shd w:val="clear" w:color="auto" w:fill="auto"/>
            <w:noWrap/>
            <w:vAlign w:val="bottom"/>
            <w:hideMark/>
          </w:tcPr>
          <w:p w:rsidR="002B5F36" w:rsidRPr="00FA352A" w:rsidRDefault="002B5F36" w:rsidP="007A19A3">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3</w:t>
            </w:r>
          </w:p>
        </w:tc>
        <w:tc>
          <w:tcPr>
            <w:tcW w:w="1785" w:type="dxa"/>
            <w:tcBorders>
              <w:top w:val="nil"/>
              <w:left w:val="nil"/>
              <w:bottom w:val="single" w:sz="4" w:space="0" w:color="auto"/>
              <w:right w:val="single" w:sz="4" w:space="0" w:color="auto"/>
            </w:tcBorders>
            <w:shd w:val="clear" w:color="auto" w:fill="auto"/>
            <w:noWrap/>
            <w:vAlign w:val="bottom"/>
            <w:hideMark/>
          </w:tcPr>
          <w:p w:rsidR="002B5F36" w:rsidRPr="00FA352A" w:rsidRDefault="002B5F36" w:rsidP="00CD41B8">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3</w:t>
            </w:r>
          </w:p>
        </w:tc>
        <w:tc>
          <w:tcPr>
            <w:tcW w:w="1820" w:type="dxa"/>
            <w:tcBorders>
              <w:top w:val="nil"/>
              <w:left w:val="nil"/>
              <w:bottom w:val="single" w:sz="4" w:space="0" w:color="auto"/>
              <w:right w:val="single" w:sz="8" w:space="0" w:color="auto"/>
            </w:tcBorders>
            <w:shd w:val="clear" w:color="auto" w:fill="auto"/>
            <w:noWrap/>
            <w:vAlign w:val="bottom"/>
            <w:hideMark/>
          </w:tcPr>
          <w:p w:rsidR="002B5F36" w:rsidRPr="00FA352A" w:rsidRDefault="002B5F36" w:rsidP="00CD41B8">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250</w:t>
            </w:r>
          </w:p>
        </w:tc>
      </w:tr>
      <w:tr w:rsidR="002B5F36" w:rsidRPr="00FA352A" w:rsidTr="004A1D41">
        <w:trPr>
          <w:trHeight w:val="260"/>
          <w:jc w:val="center"/>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2B5F36" w:rsidRPr="00FA352A" w:rsidRDefault="004A1D41" w:rsidP="00CD41B8">
            <w:pPr>
              <w:spacing w:after="0" w:line="240" w:lineRule="auto"/>
              <w:rPr>
                <w:rFonts w:ascii="Arial" w:eastAsia="Times New Roman" w:hAnsi="Arial" w:cs="Arial"/>
                <w:color w:val="000000"/>
                <w:sz w:val="20"/>
                <w:szCs w:val="20"/>
                <w:lang w:eastAsia="bs-Latn-BA"/>
              </w:rPr>
            </w:pPr>
            <w:r>
              <w:rPr>
                <w:rFonts w:ascii="Arial" w:eastAsia="Times New Roman" w:hAnsi="Arial" w:cs="Arial"/>
                <w:color w:val="000000"/>
                <w:sz w:val="20"/>
                <w:szCs w:val="20"/>
                <w:lang w:val="sr-Cyrl-BA" w:eastAsia="bs-Latn-BA"/>
              </w:rPr>
              <w:t>Тачка</w:t>
            </w:r>
            <w:r>
              <w:rPr>
                <w:rFonts w:ascii="Arial" w:eastAsia="Times New Roman" w:hAnsi="Arial" w:cs="Arial"/>
                <w:color w:val="000000"/>
                <w:sz w:val="20"/>
                <w:szCs w:val="20"/>
                <w:lang w:eastAsia="bs-Latn-BA"/>
              </w:rPr>
              <w:t xml:space="preserve"> б</w:t>
            </w:r>
            <w:r w:rsidR="002B5F36" w:rsidRPr="00FA352A">
              <w:rPr>
                <w:rFonts w:ascii="Arial" w:eastAsia="Times New Roman" w:hAnsi="Arial" w:cs="Arial"/>
                <w:color w:val="000000"/>
                <w:sz w:val="20"/>
                <w:szCs w:val="20"/>
                <w:lang w:eastAsia="bs-Latn-BA"/>
              </w:rPr>
              <w:t>)</w:t>
            </w:r>
          </w:p>
        </w:tc>
        <w:tc>
          <w:tcPr>
            <w:tcW w:w="1705" w:type="dxa"/>
            <w:tcBorders>
              <w:top w:val="nil"/>
              <w:left w:val="nil"/>
              <w:bottom w:val="single" w:sz="4" w:space="0" w:color="auto"/>
              <w:right w:val="single" w:sz="4" w:space="0" w:color="auto"/>
            </w:tcBorders>
            <w:shd w:val="clear" w:color="auto" w:fill="auto"/>
            <w:noWrap/>
            <w:vAlign w:val="bottom"/>
            <w:hideMark/>
          </w:tcPr>
          <w:p w:rsidR="002B5F36" w:rsidRPr="00FA352A" w:rsidRDefault="002B5F36" w:rsidP="00CD41B8">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9</w:t>
            </w:r>
          </w:p>
        </w:tc>
        <w:tc>
          <w:tcPr>
            <w:tcW w:w="1798" w:type="dxa"/>
            <w:tcBorders>
              <w:top w:val="nil"/>
              <w:left w:val="nil"/>
              <w:bottom w:val="single" w:sz="4" w:space="0" w:color="auto"/>
              <w:right w:val="single" w:sz="4" w:space="0" w:color="auto"/>
            </w:tcBorders>
            <w:shd w:val="clear" w:color="auto" w:fill="auto"/>
            <w:noWrap/>
            <w:vAlign w:val="bottom"/>
            <w:hideMark/>
          </w:tcPr>
          <w:p w:rsidR="002B5F36" w:rsidRPr="00FA352A" w:rsidRDefault="002B5F36" w:rsidP="007A19A3">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42</w:t>
            </w:r>
          </w:p>
        </w:tc>
        <w:tc>
          <w:tcPr>
            <w:tcW w:w="1785" w:type="dxa"/>
            <w:tcBorders>
              <w:top w:val="nil"/>
              <w:left w:val="nil"/>
              <w:bottom w:val="single" w:sz="4" w:space="0" w:color="auto"/>
              <w:right w:val="single" w:sz="4" w:space="0" w:color="auto"/>
            </w:tcBorders>
            <w:shd w:val="clear" w:color="auto" w:fill="auto"/>
            <w:noWrap/>
            <w:vAlign w:val="bottom"/>
            <w:hideMark/>
          </w:tcPr>
          <w:p w:rsidR="002B5F36" w:rsidRPr="00FA352A" w:rsidRDefault="002B5F36" w:rsidP="00CD41B8">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48</w:t>
            </w:r>
          </w:p>
        </w:tc>
        <w:tc>
          <w:tcPr>
            <w:tcW w:w="1820" w:type="dxa"/>
            <w:tcBorders>
              <w:top w:val="nil"/>
              <w:left w:val="nil"/>
              <w:bottom w:val="single" w:sz="4" w:space="0" w:color="auto"/>
              <w:right w:val="single" w:sz="8" w:space="0" w:color="auto"/>
            </w:tcBorders>
            <w:shd w:val="clear" w:color="auto" w:fill="auto"/>
            <w:noWrap/>
            <w:vAlign w:val="bottom"/>
            <w:hideMark/>
          </w:tcPr>
          <w:p w:rsidR="002B5F36" w:rsidRPr="00FA352A" w:rsidRDefault="002B5F36" w:rsidP="00CD41B8">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54</w:t>
            </w:r>
          </w:p>
        </w:tc>
      </w:tr>
      <w:tr w:rsidR="002B5F36" w:rsidRPr="00FA352A" w:rsidTr="004A1D41">
        <w:trPr>
          <w:trHeight w:val="260"/>
          <w:jc w:val="center"/>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2B5F36" w:rsidRPr="00FA352A" w:rsidRDefault="004A1D41" w:rsidP="00CD41B8">
            <w:pPr>
              <w:spacing w:after="0" w:line="240" w:lineRule="auto"/>
              <w:rPr>
                <w:rFonts w:ascii="Arial" w:eastAsia="Times New Roman" w:hAnsi="Arial" w:cs="Arial"/>
                <w:color w:val="000000"/>
                <w:sz w:val="20"/>
                <w:szCs w:val="20"/>
                <w:lang w:eastAsia="bs-Latn-BA"/>
              </w:rPr>
            </w:pPr>
            <w:r>
              <w:rPr>
                <w:rFonts w:ascii="Arial" w:eastAsia="Times New Roman" w:hAnsi="Arial" w:cs="Arial"/>
                <w:color w:val="000000"/>
                <w:sz w:val="20"/>
                <w:szCs w:val="20"/>
                <w:lang w:val="sr-Cyrl-BA" w:eastAsia="bs-Latn-BA"/>
              </w:rPr>
              <w:t>Тачка</w:t>
            </w:r>
            <w:r>
              <w:rPr>
                <w:rFonts w:ascii="Arial" w:eastAsia="Times New Roman" w:hAnsi="Arial" w:cs="Arial"/>
                <w:color w:val="000000"/>
                <w:sz w:val="20"/>
                <w:szCs w:val="20"/>
                <w:lang w:eastAsia="bs-Latn-BA"/>
              </w:rPr>
              <w:t xml:space="preserve"> ц</w:t>
            </w:r>
            <w:r w:rsidR="002B5F36" w:rsidRPr="00FA352A">
              <w:rPr>
                <w:rFonts w:ascii="Arial" w:eastAsia="Times New Roman" w:hAnsi="Arial" w:cs="Arial"/>
                <w:color w:val="000000"/>
                <w:sz w:val="20"/>
                <w:szCs w:val="20"/>
                <w:lang w:eastAsia="bs-Latn-BA"/>
              </w:rPr>
              <w:t>)</w:t>
            </w:r>
          </w:p>
        </w:tc>
        <w:tc>
          <w:tcPr>
            <w:tcW w:w="1705" w:type="dxa"/>
            <w:tcBorders>
              <w:top w:val="nil"/>
              <w:left w:val="nil"/>
              <w:bottom w:val="single" w:sz="4" w:space="0" w:color="auto"/>
              <w:right w:val="single" w:sz="4" w:space="0" w:color="auto"/>
            </w:tcBorders>
            <w:shd w:val="clear" w:color="auto" w:fill="auto"/>
            <w:noWrap/>
            <w:vAlign w:val="bottom"/>
            <w:hideMark/>
          </w:tcPr>
          <w:p w:rsidR="002B5F36" w:rsidRPr="00FA352A" w:rsidRDefault="002B5F36" w:rsidP="00CD41B8">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605</w:t>
            </w:r>
          </w:p>
        </w:tc>
        <w:tc>
          <w:tcPr>
            <w:tcW w:w="1798" w:type="dxa"/>
            <w:tcBorders>
              <w:top w:val="nil"/>
              <w:left w:val="nil"/>
              <w:bottom w:val="single" w:sz="4" w:space="0" w:color="auto"/>
              <w:right w:val="single" w:sz="4" w:space="0" w:color="auto"/>
            </w:tcBorders>
            <w:shd w:val="clear" w:color="auto" w:fill="auto"/>
            <w:noWrap/>
            <w:vAlign w:val="bottom"/>
            <w:hideMark/>
          </w:tcPr>
          <w:p w:rsidR="002B5F36" w:rsidRPr="00FA352A" w:rsidRDefault="002B5F36" w:rsidP="007A19A3">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4</w:t>
            </w:r>
          </w:p>
        </w:tc>
        <w:tc>
          <w:tcPr>
            <w:tcW w:w="1785" w:type="dxa"/>
            <w:tcBorders>
              <w:top w:val="nil"/>
              <w:left w:val="nil"/>
              <w:bottom w:val="single" w:sz="4" w:space="0" w:color="auto"/>
              <w:right w:val="single" w:sz="4" w:space="0" w:color="auto"/>
            </w:tcBorders>
            <w:shd w:val="clear" w:color="auto" w:fill="auto"/>
            <w:noWrap/>
            <w:vAlign w:val="bottom"/>
            <w:hideMark/>
          </w:tcPr>
          <w:p w:rsidR="002B5F36" w:rsidRPr="00FA352A" w:rsidRDefault="002B5F36" w:rsidP="00CD41B8">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22</w:t>
            </w:r>
          </w:p>
        </w:tc>
        <w:tc>
          <w:tcPr>
            <w:tcW w:w="1820" w:type="dxa"/>
            <w:tcBorders>
              <w:top w:val="nil"/>
              <w:left w:val="nil"/>
              <w:bottom w:val="single" w:sz="4" w:space="0" w:color="auto"/>
              <w:right w:val="single" w:sz="8" w:space="0" w:color="auto"/>
            </w:tcBorders>
            <w:shd w:val="clear" w:color="auto" w:fill="auto"/>
            <w:noWrap/>
            <w:vAlign w:val="bottom"/>
            <w:hideMark/>
          </w:tcPr>
          <w:p w:rsidR="002B5F36" w:rsidRPr="00FA352A" w:rsidRDefault="002B5F36" w:rsidP="00255B42">
            <w:pPr>
              <w:spacing w:after="0" w:line="240" w:lineRule="auto"/>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 </w:t>
            </w:r>
            <w:r>
              <w:rPr>
                <w:rFonts w:ascii="Arial" w:eastAsia="Times New Roman" w:hAnsi="Arial" w:cs="Arial"/>
                <w:color w:val="000000"/>
                <w:sz w:val="20"/>
                <w:szCs w:val="20"/>
                <w:lang w:eastAsia="bs-Latn-BA"/>
              </w:rPr>
              <w:t xml:space="preserve">                        </w:t>
            </w:r>
            <w:r w:rsidR="00255B42">
              <w:rPr>
                <w:rFonts w:ascii="Arial" w:eastAsia="Times New Roman" w:hAnsi="Arial" w:cs="Arial"/>
                <w:color w:val="000000"/>
                <w:sz w:val="20"/>
                <w:szCs w:val="20"/>
                <w:lang w:eastAsia="bs-Latn-BA"/>
              </w:rPr>
              <w:t>-</w:t>
            </w:r>
          </w:p>
        </w:tc>
      </w:tr>
      <w:tr w:rsidR="002B5F36" w:rsidRPr="00FA352A" w:rsidTr="004A1D41">
        <w:trPr>
          <w:trHeight w:val="260"/>
          <w:jc w:val="center"/>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2B5F36" w:rsidRPr="00FA352A" w:rsidRDefault="004A1D41" w:rsidP="00CD41B8">
            <w:pPr>
              <w:spacing w:after="0" w:line="240" w:lineRule="auto"/>
              <w:rPr>
                <w:rFonts w:ascii="Arial" w:eastAsia="Times New Roman" w:hAnsi="Arial" w:cs="Arial"/>
                <w:color w:val="000000"/>
                <w:sz w:val="20"/>
                <w:szCs w:val="20"/>
                <w:lang w:eastAsia="bs-Latn-BA"/>
              </w:rPr>
            </w:pPr>
            <w:r>
              <w:rPr>
                <w:rFonts w:ascii="Arial" w:eastAsia="Times New Roman" w:hAnsi="Arial" w:cs="Arial"/>
                <w:color w:val="000000"/>
                <w:sz w:val="20"/>
                <w:szCs w:val="20"/>
                <w:lang w:val="sr-Cyrl-BA" w:eastAsia="bs-Latn-BA"/>
              </w:rPr>
              <w:t>Тачка</w:t>
            </w:r>
            <w:r>
              <w:rPr>
                <w:rFonts w:ascii="Arial" w:eastAsia="Times New Roman" w:hAnsi="Arial" w:cs="Arial"/>
                <w:color w:val="000000"/>
                <w:sz w:val="20"/>
                <w:szCs w:val="20"/>
                <w:lang w:eastAsia="bs-Latn-BA"/>
              </w:rPr>
              <w:t xml:space="preserve"> д</w:t>
            </w:r>
            <w:r w:rsidR="002B5F36" w:rsidRPr="00FA352A">
              <w:rPr>
                <w:rFonts w:ascii="Arial" w:eastAsia="Times New Roman" w:hAnsi="Arial" w:cs="Arial"/>
                <w:color w:val="000000"/>
                <w:sz w:val="20"/>
                <w:szCs w:val="20"/>
                <w:lang w:eastAsia="bs-Latn-BA"/>
              </w:rPr>
              <w:t>)</w:t>
            </w:r>
          </w:p>
        </w:tc>
        <w:tc>
          <w:tcPr>
            <w:tcW w:w="1705" w:type="dxa"/>
            <w:tcBorders>
              <w:top w:val="nil"/>
              <w:left w:val="nil"/>
              <w:bottom w:val="single" w:sz="4" w:space="0" w:color="auto"/>
              <w:right w:val="single" w:sz="4" w:space="0" w:color="auto"/>
            </w:tcBorders>
            <w:shd w:val="clear" w:color="auto" w:fill="auto"/>
            <w:noWrap/>
            <w:vAlign w:val="bottom"/>
            <w:hideMark/>
          </w:tcPr>
          <w:p w:rsidR="002B5F36" w:rsidRPr="00FA352A" w:rsidRDefault="002B5F36" w:rsidP="00CD41B8">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276</w:t>
            </w:r>
          </w:p>
        </w:tc>
        <w:tc>
          <w:tcPr>
            <w:tcW w:w="1798" w:type="dxa"/>
            <w:tcBorders>
              <w:top w:val="nil"/>
              <w:left w:val="nil"/>
              <w:bottom w:val="single" w:sz="4" w:space="0" w:color="auto"/>
              <w:right w:val="single" w:sz="4" w:space="0" w:color="auto"/>
            </w:tcBorders>
            <w:shd w:val="clear" w:color="auto" w:fill="auto"/>
            <w:noWrap/>
            <w:vAlign w:val="bottom"/>
            <w:hideMark/>
          </w:tcPr>
          <w:p w:rsidR="002B5F36" w:rsidRPr="00FA352A" w:rsidRDefault="002B5F36" w:rsidP="007A19A3">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2</w:t>
            </w:r>
          </w:p>
        </w:tc>
        <w:tc>
          <w:tcPr>
            <w:tcW w:w="1785" w:type="dxa"/>
            <w:tcBorders>
              <w:top w:val="nil"/>
              <w:left w:val="nil"/>
              <w:bottom w:val="single" w:sz="4" w:space="0" w:color="auto"/>
              <w:right w:val="single" w:sz="4" w:space="0" w:color="auto"/>
            </w:tcBorders>
            <w:shd w:val="clear" w:color="auto" w:fill="auto"/>
            <w:noWrap/>
            <w:vAlign w:val="bottom"/>
            <w:hideMark/>
          </w:tcPr>
          <w:p w:rsidR="002B5F36" w:rsidRPr="00FA352A" w:rsidRDefault="002B5F36" w:rsidP="00255B42">
            <w:pPr>
              <w:spacing w:after="0" w:line="240" w:lineRule="auto"/>
              <w:rPr>
                <w:rFonts w:ascii="Arial" w:eastAsia="Times New Roman" w:hAnsi="Arial" w:cs="Arial"/>
                <w:color w:val="000000"/>
                <w:sz w:val="20"/>
                <w:szCs w:val="20"/>
                <w:lang w:eastAsia="bs-Latn-BA"/>
              </w:rPr>
            </w:pPr>
            <w:r>
              <w:rPr>
                <w:rFonts w:ascii="Arial" w:eastAsia="Times New Roman" w:hAnsi="Arial" w:cs="Arial"/>
                <w:color w:val="000000"/>
                <w:sz w:val="20"/>
                <w:szCs w:val="20"/>
                <w:lang w:eastAsia="bs-Latn-BA"/>
              </w:rPr>
              <w:t xml:space="preserve">                        </w:t>
            </w:r>
            <w:r w:rsidRPr="00FA352A">
              <w:rPr>
                <w:rFonts w:ascii="Arial" w:eastAsia="Times New Roman" w:hAnsi="Arial" w:cs="Arial"/>
                <w:color w:val="000000"/>
                <w:sz w:val="20"/>
                <w:szCs w:val="20"/>
                <w:lang w:eastAsia="bs-Latn-BA"/>
              </w:rPr>
              <w:t> </w:t>
            </w:r>
            <w:r w:rsidR="00255B42">
              <w:rPr>
                <w:rFonts w:ascii="Arial" w:eastAsia="Times New Roman" w:hAnsi="Arial" w:cs="Arial"/>
                <w:color w:val="000000"/>
                <w:sz w:val="20"/>
                <w:szCs w:val="20"/>
                <w:lang w:eastAsia="bs-Latn-BA"/>
              </w:rPr>
              <w:t>-</w:t>
            </w:r>
          </w:p>
        </w:tc>
        <w:tc>
          <w:tcPr>
            <w:tcW w:w="1820" w:type="dxa"/>
            <w:tcBorders>
              <w:top w:val="nil"/>
              <w:left w:val="nil"/>
              <w:bottom w:val="single" w:sz="4" w:space="0" w:color="auto"/>
              <w:right w:val="single" w:sz="8" w:space="0" w:color="auto"/>
            </w:tcBorders>
            <w:shd w:val="clear" w:color="auto" w:fill="auto"/>
            <w:noWrap/>
            <w:vAlign w:val="bottom"/>
            <w:hideMark/>
          </w:tcPr>
          <w:p w:rsidR="002B5F36" w:rsidRPr="00FA352A" w:rsidRDefault="002B5F36" w:rsidP="00255B42">
            <w:pPr>
              <w:spacing w:after="0" w:line="240" w:lineRule="auto"/>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 </w:t>
            </w:r>
            <w:r>
              <w:rPr>
                <w:rFonts w:ascii="Arial" w:eastAsia="Times New Roman" w:hAnsi="Arial" w:cs="Arial"/>
                <w:color w:val="000000"/>
                <w:sz w:val="20"/>
                <w:szCs w:val="20"/>
                <w:lang w:eastAsia="bs-Latn-BA"/>
              </w:rPr>
              <w:t xml:space="preserve">                        </w:t>
            </w:r>
            <w:r w:rsidR="00255B42">
              <w:rPr>
                <w:rFonts w:ascii="Arial" w:eastAsia="Times New Roman" w:hAnsi="Arial" w:cs="Arial"/>
                <w:color w:val="000000"/>
                <w:sz w:val="20"/>
                <w:szCs w:val="20"/>
                <w:lang w:eastAsia="bs-Latn-BA"/>
              </w:rPr>
              <w:t>-</w:t>
            </w:r>
          </w:p>
        </w:tc>
      </w:tr>
      <w:tr w:rsidR="002B5F36" w:rsidRPr="00FA352A" w:rsidTr="004A1D41">
        <w:trPr>
          <w:trHeight w:val="275"/>
          <w:jc w:val="center"/>
        </w:trPr>
        <w:tc>
          <w:tcPr>
            <w:tcW w:w="1149" w:type="dxa"/>
            <w:tcBorders>
              <w:top w:val="nil"/>
              <w:left w:val="single" w:sz="8" w:space="0" w:color="auto"/>
              <w:bottom w:val="single" w:sz="8" w:space="0" w:color="auto"/>
              <w:right w:val="single" w:sz="4" w:space="0" w:color="auto"/>
            </w:tcBorders>
            <w:shd w:val="clear" w:color="auto" w:fill="auto"/>
            <w:noWrap/>
            <w:vAlign w:val="bottom"/>
            <w:hideMark/>
          </w:tcPr>
          <w:p w:rsidR="002B5F36" w:rsidRPr="004A1D41" w:rsidRDefault="004A1D41" w:rsidP="00CD41B8">
            <w:pPr>
              <w:spacing w:after="0" w:line="240" w:lineRule="auto"/>
              <w:rPr>
                <w:rFonts w:ascii="Arial" w:eastAsia="Times New Roman" w:hAnsi="Arial" w:cs="Arial"/>
                <w:color w:val="000000"/>
                <w:sz w:val="20"/>
                <w:szCs w:val="20"/>
                <w:lang w:val="sr-Cyrl-BA" w:eastAsia="bs-Latn-BA"/>
              </w:rPr>
            </w:pPr>
            <w:r>
              <w:rPr>
                <w:rFonts w:ascii="Arial" w:eastAsia="Times New Roman" w:hAnsi="Arial" w:cs="Arial"/>
                <w:color w:val="000000"/>
                <w:sz w:val="20"/>
                <w:szCs w:val="20"/>
                <w:lang w:val="sr-Cyrl-BA" w:eastAsia="bs-Latn-BA"/>
              </w:rPr>
              <w:t>ТОТАЛ</w:t>
            </w:r>
          </w:p>
        </w:tc>
        <w:tc>
          <w:tcPr>
            <w:tcW w:w="1705" w:type="dxa"/>
            <w:tcBorders>
              <w:top w:val="nil"/>
              <w:left w:val="nil"/>
              <w:bottom w:val="single" w:sz="8" w:space="0" w:color="auto"/>
              <w:right w:val="single" w:sz="4" w:space="0" w:color="auto"/>
            </w:tcBorders>
            <w:shd w:val="clear" w:color="auto" w:fill="auto"/>
            <w:noWrap/>
            <w:vAlign w:val="bottom"/>
            <w:hideMark/>
          </w:tcPr>
          <w:p w:rsidR="002B5F36" w:rsidRPr="00FA352A" w:rsidRDefault="002B5F36" w:rsidP="00CD41B8">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1.118</w:t>
            </w:r>
          </w:p>
        </w:tc>
        <w:tc>
          <w:tcPr>
            <w:tcW w:w="1798" w:type="dxa"/>
            <w:tcBorders>
              <w:top w:val="nil"/>
              <w:left w:val="nil"/>
              <w:bottom w:val="single" w:sz="8" w:space="0" w:color="auto"/>
              <w:right w:val="single" w:sz="4" w:space="0" w:color="auto"/>
            </w:tcBorders>
            <w:shd w:val="clear" w:color="auto" w:fill="auto"/>
            <w:noWrap/>
            <w:vAlign w:val="bottom"/>
            <w:hideMark/>
          </w:tcPr>
          <w:p w:rsidR="002B5F36" w:rsidRPr="00FA352A" w:rsidRDefault="002B5F36" w:rsidP="007A19A3">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51</w:t>
            </w:r>
          </w:p>
        </w:tc>
        <w:tc>
          <w:tcPr>
            <w:tcW w:w="1785" w:type="dxa"/>
            <w:tcBorders>
              <w:top w:val="nil"/>
              <w:left w:val="nil"/>
              <w:bottom w:val="single" w:sz="8" w:space="0" w:color="auto"/>
              <w:right w:val="single" w:sz="4" w:space="0" w:color="auto"/>
            </w:tcBorders>
            <w:shd w:val="clear" w:color="auto" w:fill="auto"/>
            <w:noWrap/>
            <w:vAlign w:val="bottom"/>
            <w:hideMark/>
          </w:tcPr>
          <w:p w:rsidR="002B5F36" w:rsidRPr="00FA352A" w:rsidRDefault="002B5F36" w:rsidP="00CD41B8">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73</w:t>
            </w:r>
          </w:p>
        </w:tc>
        <w:tc>
          <w:tcPr>
            <w:tcW w:w="1820" w:type="dxa"/>
            <w:tcBorders>
              <w:top w:val="nil"/>
              <w:left w:val="nil"/>
              <w:bottom w:val="single" w:sz="8" w:space="0" w:color="auto"/>
              <w:right w:val="single" w:sz="8" w:space="0" w:color="auto"/>
            </w:tcBorders>
            <w:shd w:val="clear" w:color="auto" w:fill="auto"/>
            <w:noWrap/>
            <w:vAlign w:val="bottom"/>
            <w:hideMark/>
          </w:tcPr>
          <w:p w:rsidR="002B5F36" w:rsidRPr="00FA352A" w:rsidRDefault="002B5F36" w:rsidP="00CD41B8">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304</w:t>
            </w:r>
          </w:p>
        </w:tc>
      </w:tr>
    </w:tbl>
    <w:p w:rsidR="002B5F36" w:rsidRDefault="002B5F36" w:rsidP="00EF60C0">
      <w:pPr>
        <w:spacing w:after="0" w:line="240" w:lineRule="auto"/>
        <w:jc w:val="center"/>
        <w:rPr>
          <w:rFonts w:cs="Times New Roman"/>
          <w:color w:val="000000"/>
          <w:lang w:val="hr-HR" w:eastAsia="bs-Latn-BA"/>
        </w:rPr>
      </w:pPr>
    </w:p>
    <w:p w:rsidR="002B5F36" w:rsidRDefault="002B5F36" w:rsidP="00EF60C0">
      <w:pPr>
        <w:spacing w:after="0" w:line="240" w:lineRule="auto"/>
        <w:jc w:val="center"/>
        <w:rPr>
          <w:rFonts w:cs="Times New Roman"/>
          <w:color w:val="000000"/>
          <w:lang w:val="hr-HR" w:eastAsia="bs-Latn-BA"/>
        </w:rPr>
      </w:pPr>
    </w:p>
    <w:p w:rsidR="004A1D41" w:rsidRPr="004A1D41" w:rsidRDefault="004A1D41" w:rsidP="004A1D41">
      <w:pPr>
        <w:spacing w:after="0" w:line="240" w:lineRule="auto"/>
        <w:jc w:val="both"/>
        <w:rPr>
          <w:rFonts w:cs="Times New Roman"/>
          <w:color w:val="000000"/>
          <w:lang w:val="hr-HR" w:eastAsia="bs-Latn-BA"/>
        </w:rPr>
      </w:pPr>
      <w:r w:rsidRPr="004A1D41">
        <w:rPr>
          <w:rFonts w:cs="Times New Roman"/>
          <w:color w:val="000000"/>
          <w:lang w:val="hr-HR" w:eastAsia="bs-Latn-BA"/>
        </w:rPr>
        <w:t xml:space="preserve">1) Члан 21. Закона дефинише опште случајеве који се могу примјенити и на робе, и на услуге и на радове. Наиме, овим чланом Закона обухваћене су ситуације за набавку роба, услуга и радова, као и услови који морају бити испуњени да би се овај поступак могао примјенити.  Примјена члана 21. став (1) тачка ц) Закона, која дефинише ексклузивитет је најзаступљенија као правни основ за примјену преговарачког поступка без објаве обавјештења. Досадашња пракса и праћење система јавних набавки је указало на чињеницу да уговорни органи код набавки </w:t>
      </w:r>
      <w:r w:rsidR="0068563F">
        <w:rPr>
          <w:rFonts w:cs="Times New Roman"/>
          <w:color w:val="000000"/>
          <w:lang w:val="sr-Cyrl-BA" w:eastAsia="bs-Latn-BA"/>
        </w:rPr>
        <w:t>софтвера</w:t>
      </w:r>
      <w:r w:rsidR="0068563F">
        <w:rPr>
          <w:rFonts w:cs="Times New Roman"/>
          <w:color w:val="000000"/>
          <w:lang w:val="hr-HR" w:eastAsia="bs-Latn-BA"/>
        </w:rPr>
        <w:t xml:space="preserve"> се неопредј</w:t>
      </w:r>
      <w:r w:rsidRPr="004A1D41">
        <w:rPr>
          <w:rFonts w:cs="Times New Roman"/>
          <w:color w:val="000000"/>
          <w:lang w:val="hr-HR" w:eastAsia="bs-Latn-BA"/>
        </w:rPr>
        <w:t>ељују за набавку и „</w:t>
      </w:r>
      <w:r w:rsidR="0068563F" w:rsidRPr="0068563F">
        <w:rPr>
          <w:rFonts w:cs="Times New Roman"/>
          <w:color w:val="000000"/>
          <w:lang w:val="hr-HR" w:eastAsia="bs-Latn-BA"/>
        </w:rPr>
        <w:t>source cod-a</w:t>
      </w:r>
      <w:r w:rsidRPr="004A1D41">
        <w:rPr>
          <w:rFonts w:cs="Times New Roman"/>
          <w:color w:val="000000"/>
          <w:lang w:val="hr-HR" w:eastAsia="bs-Latn-BA"/>
        </w:rPr>
        <w:t xml:space="preserve">“, те су принуђени преговарати са добављачем од којег су набавили </w:t>
      </w:r>
      <w:r w:rsidR="0068563F">
        <w:rPr>
          <w:rFonts w:cs="Times New Roman"/>
          <w:color w:val="000000"/>
          <w:lang w:val="sr-Cyrl-BA" w:eastAsia="bs-Latn-BA"/>
        </w:rPr>
        <w:t>софтвер</w:t>
      </w:r>
      <w:r w:rsidRPr="004A1D41">
        <w:rPr>
          <w:rFonts w:cs="Times New Roman"/>
          <w:color w:val="000000"/>
          <w:lang w:val="hr-HR" w:eastAsia="bs-Latn-BA"/>
        </w:rPr>
        <w:t xml:space="preserve"> за одржавање и надоградњу.</w:t>
      </w:r>
    </w:p>
    <w:p w:rsidR="004A1D41" w:rsidRPr="004A1D41" w:rsidRDefault="004A1D41" w:rsidP="004A1D41">
      <w:pPr>
        <w:spacing w:after="0" w:line="240" w:lineRule="auto"/>
        <w:jc w:val="both"/>
        <w:rPr>
          <w:rFonts w:cs="Times New Roman"/>
          <w:color w:val="000000"/>
          <w:lang w:val="hr-HR" w:eastAsia="bs-Latn-BA"/>
        </w:rPr>
      </w:pPr>
    </w:p>
    <w:p w:rsidR="004A1D41" w:rsidRPr="004A1D41" w:rsidRDefault="004A1D41" w:rsidP="004A1D41">
      <w:pPr>
        <w:spacing w:after="0" w:line="240" w:lineRule="auto"/>
        <w:jc w:val="both"/>
        <w:rPr>
          <w:rFonts w:cs="Times New Roman"/>
          <w:color w:val="000000"/>
          <w:lang w:val="hr-HR" w:eastAsia="bs-Latn-BA"/>
        </w:rPr>
      </w:pPr>
      <w:r w:rsidRPr="004A1D41">
        <w:rPr>
          <w:rFonts w:cs="Times New Roman"/>
          <w:color w:val="000000"/>
          <w:lang w:val="hr-HR" w:eastAsia="bs-Latn-BA"/>
        </w:rPr>
        <w:t xml:space="preserve">2) Члан 22. Закона дефинше услове за набавку роба путем преговарачког поступка без објаве обавјештења и из показатеља за случајеве набавке роба најзаступљенија је додатна набавка роба, уз испуњење кумулативно постављена 4 услова да би се примјенио овај правни основ за преговарачки поступак без објаве обавјештења. </w:t>
      </w:r>
    </w:p>
    <w:p w:rsidR="004A1D41" w:rsidRPr="004A1D41" w:rsidRDefault="004A1D41" w:rsidP="004A1D41">
      <w:pPr>
        <w:spacing w:after="0" w:line="240" w:lineRule="auto"/>
        <w:jc w:val="both"/>
        <w:rPr>
          <w:rFonts w:cs="Times New Roman"/>
          <w:color w:val="000000"/>
          <w:lang w:val="hr-HR" w:eastAsia="bs-Latn-BA"/>
        </w:rPr>
      </w:pPr>
    </w:p>
    <w:p w:rsidR="004A1D41" w:rsidRDefault="004A1D41" w:rsidP="004A1D41">
      <w:pPr>
        <w:spacing w:after="0" w:line="240" w:lineRule="auto"/>
        <w:jc w:val="both"/>
        <w:rPr>
          <w:rFonts w:cs="Times New Roman"/>
          <w:color w:val="000000"/>
          <w:lang w:val="hr-HR" w:eastAsia="bs-Latn-BA"/>
        </w:rPr>
      </w:pPr>
      <w:r w:rsidRPr="004A1D41">
        <w:rPr>
          <w:rFonts w:cs="Times New Roman"/>
          <w:color w:val="000000"/>
          <w:lang w:val="hr-HR" w:eastAsia="bs-Latn-BA"/>
        </w:rPr>
        <w:t>3) Члан 23. Закона дефинише ситуације када је могуће примјенити преговарачки поступак без објаве обавјештења за набавку услуга. Овај правни основ је примјењен већином за  непредвиђене услуге  и додатне услуге. И у овим случајевима је потребно испунити комулативно постављене услове, а посебно код непредвиђених услуга вриједносно ограничење (30% вриједности основног уговора), те код додатних услуга ограничење у погледу рока , тј. у периоду од три године од закључења основног уговора.</w:t>
      </w:r>
    </w:p>
    <w:p w:rsidR="0068563F" w:rsidRPr="004A1D41" w:rsidRDefault="0068563F" w:rsidP="004A1D41">
      <w:pPr>
        <w:spacing w:after="0" w:line="240" w:lineRule="auto"/>
        <w:jc w:val="both"/>
        <w:rPr>
          <w:rFonts w:cs="Times New Roman"/>
          <w:color w:val="000000"/>
          <w:lang w:val="hr-HR" w:eastAsia="bs-Latn-BA"/>
        </w:rPr>
      </w:pPr>
    </w:p>
    <w:p w:rsidR="00BC63AF" w:rsidRDefault="004A1D41" w:rsidP="004A1D41">
      <w:pPr>
        <w:spacing w:after="0" w:line="240" w:lineRule="auto"/>
        <w:jc w:val="both"/>
        <w:rPr>
          <w:rFonts w:cs="Times New Roman"/>
          <w:color w:val="000000"/>
          <w:lang w:val="hr-HR" w:eastAsia="bs-Latn-BA"/>
        </w:rPr>
      </w:pPr>
      <w:r w:rsidRPr="004A1D41">
        <w:rPr>
          <w:rFonts w:cs="Times New Roman"/>
          <w:color w:val="000000"/>
          <w:lang w:val="hr-HR" w:eastAsia="bs-Latn-BA"/>
        </w:rPr>
        <w:t>4) Чланом 24. Закона се дефинишу кумулативно постављени услови за набавку непредвиђених радова и додатних радова. Посматрајући показатеље за ове случајеве, уочава се да у преко 70% случајева проведен је преговарачки поступак без објаве обавјештења за непредвиђене радове, а из чега произилази да документација која се припрема за извођење радова (пројекат и друга документација) указују на лоше припреме које претходе реализацији пројеката. У овим случајевима се могу десити различити облици злоупотреба, посебно када се ради о пројектима велике вриједности</w:t>
      </w:r>
      <w:r w:rsidR="0057394A">
        <w:rPr>
          <w:rFonts w:cs="Times New Roman"/>
          <w:color w:val="000000"/>
          <w:lang w:val="hr-HR" w:eastAsia="bs-Latn-BA"/>
        </w:rPr>
        <w:t xml:space="preserve">. </w:t>
      </w:r>
    </w:p>
    <w:p w:rsidR="004914AC" w:rsidRDefault="004914AC" w:rsidP="00CD069B">
      <w:pPr>
        <w:spacing w:after="0" w:line="240" w:lineRule="auto"/>
        <w:jc w:val="both"/>
        <w:rPr>
          <w:rFonts w:cs="Times New Roman"/>
          <w:color w:val="000000"/>
          <w:lang w:val="hr-HR" w:eastAsia="bs-Latn-BA"/>
        </w:rPr>
      </w:pPr>
    </w:p>
    <w:p w:rsidR="00CC506F" w:rsidRDefault="004A1D41" w:rsidP="00CC506F">
      <w:pPr>
        <w:pStyle w:val="ListParagraph"/>
        <w:numPr>
          <w:ilvl w:val="0"/>
          <w:numId w:val="2"/>
        </w:numPr>
        <w:spacing w:after="0" w:line="240" w:lineRule="auto"/>
        <w:jc w:val="both"/>
        <w:rPr>
          <w:rFonts w:cs="Times New Roman"/>
          <w:b/>
          <w:color w:val="000000" w:themeColor="text1"/>
          <w:sz w:val="24"/>
          <w:szCs w:val="24"/>
        </w:rPr>
      </w:pPr>
      <w:r>
        <w:rPr>
          <w:rFonts w:cs="Times New Roman"/>
          <w:b/>
          <w:color w:val="000000" w:themeColor="text1"/>
          <w:sz w:val="24"/>
          <w:szCs w:val="24"/>
          <w:lang w:val="sr-Cyrl-BA"/>
        </w:rPr>
        <w:t>Прекршајни поступцу у 2019</w:t>
      </w:r>
      <w:r w:rsidR="00CC506F" w:rsidRPr="006E29C8">
        <w:rPr>
          <w:rFonts w:cs="Times New Roman"/>
          <w:b/>
          <w:color w:val="000000" w:themeColor="text1"/>
          <w:sz w:val="24"/>
          <w:szCs w:val="24"/>
        </w:rPr>
        <w:t xml:space="preserve">. </w:t>
      </w:r>
      <w:r>
        <w:rPr>
          <w:rFonts w:cs="Times New Roman"/>
          <w:b/>
          <w:color w:val="000000" w:themeColor="text1"/>
          <w:sz w:val="24"/>
          <w:szCs w:val="24"/>
          <w:lang w:val="sr-Cyrl-BA"/>
        </w:rPr>
        <w:t>години</w:t>
      </w:r>
    </w:p>
    <w:p w:rsidR="00F63C41" w:rsidRDefault="00F63C41" w:rsidP="00CD069B">
      <w:pPr>
        <w:spacing w:after="0" w:line="240" w:lineRule="auto"/>
        <w:jc w:val="both"/>
        <w:rPr>
          <w:rFonts w:cs="Times New Roman"/>
          <w:color w:val="000000"/>
          <w:lang w:val="hr-HR" w:eastAsia="bs-Latn-BA"/>
        </w:rPr>
      </w:pPr>
    </w:p>
    <w:p w:rsidR="00AB7DB8" w:rsidRDefault="004A1D41" w:rsidP="00CD069B">
      <w:pPr>
        <w:spacing w:after="0" w:line="240" w:lineRule="auto"/>
        <w:jc w:val="both"/>
        <w:rPr>
          <w:rFonts w:cs="Times New Roman"/>
          <w:color w:val="000000"/>
          <w:lang w:val="hr-HR" w:eastAsia="bs-Latn-BA"/>
        </w:rPr>
      </w:pPr>
      <w:r w:rsidRPr="004A1D41">
        <w:rPr>
          <w:rFonts w:cs="Times New Roman"/>
          <w:color w:val="000000"/>
          <w:lang w:val="hr-HR" w:eastAsia="bs-Latn-BA"/>
        </w:rPr>
        <w:t xml:space="preserve">Агенција је у 2019. години </w:t>
      </w:r>
      <w:r w:rsidR="0068563F">
        <w:rPr>
          <w:rFonts w:cs="Times New Roman"/>
          <w:color w:val="000000"/>
          <w:lang w:val="sr-Cyrl-BA" w:eastAsia="bs-Latn-BA"/>
        </w:rPr>
        <w:t>реализовала</w:t>
      </w:r>
      <w:r w:rsidRPr="004A1D41">
        <w:rPr>
          <w:rFonts w:cs="Times New Roman"/>
          <w:color w:val="000000"/>
          <w:lang w:val="hr-HR" w:eastAsia="bs-Latn-BA"/>
        </w:rPr>
        <w:t xml:space="preserve"> и надлежност из члана 116. Закона, те је поднијела 27 захтјева за</w:t>
      </w:r>
      <w:r w:rsidR="0068563F">
        <w:rPr>
          <w:rFonts w:cs="Times New Roman"/>
          <w:color w:val="000000"/>
          <w:lang w:val="hr-HR" w:eastAsia="bs-Latn-BA"/>
        </w:rPr>
        <w:t xml:space="preserve"> покретање прекршајног поступка</w:t>
      </w:r>
      <w:r w:rsidRPr="004A1D41">
        <w:rPr>
          <w:rFonts w:cs="Times New Roman"/>
          <w:color w:val="000000"/>
          <w:lang w:val="hr-HR" w:eastAsia="bs-Latn-BA"/>
        </w:rPr>
        <w:t xml:space="preserve">. Приказ покренутих прекршајних поступака у 2019.години је </w:t>
      </w:r>
      <w:r w:rsidR="0068563F">
        <w:rPr>
          <w:rFonts w:cs="Times New Roman"/>
          <w:color w:val="000000"/>
          <w:lang w:val="sr-Cyrl-BA" w:eastAsia="bs-Latn-BA"/>
        </w:rPr>
        <w:t>сљедећи</w:t>
      </w:r>
      <w:r w:rsidR="00AB7DB8">
        <w:rPr>
          <w:rFonts w:cs="Times New Roman"/>
          <w:color w:val="000000"/>
          <w:lang w:val="hr-HR" w:eastAsia="bs-Latn-BA"/>
        </w:rPr>
        <w:t>:</w:t>
      </w:r>
    </w:p>
    <w:p w:rsidR="004E452C" w:rsidRDefault="004E452C" w:rsidP="00CD069B">
      <w:pPr>
        <w:spacing w:after="0" w:line="240" w:lineRule="auto"/>
        <w:jc w:val="both"/>
        <w:rPr>
          <w:rFonts w:cs="Times New Roman"/>
          <w:color w:val="000000"/>
          <w:lang w:val="hr-HR" w:eastAsia="bs-Latn-BA"/>
        </w:rPr>
      </w:pPr>
    </w:p>
    <w:p w:rsidR="00AB7DB8" w:rsidRPr="00AB7DB8" w:rsidRDefault="00AB7DB8" w:rsidP="00AB7DB8">
      <w:pPr>
        <w:spacing w:after="0" w:line="240" w:lineRule="auto"/>
        <w:jc w:val="both"/>
        <w:rPr>
          <w:rFonts w:cs="Times New Roman"/>
          <w:color w:val="000000"/>
          <w:lang w:val="hr-HR" w:eastAsia="bs-Latn-BA"/>
        </w:rPr>
      </w:pPr>
    </w:p>
    <w:p w:rsidR="00903A10" w:rsidRDefault="004D31A0" w:rsidP="004D31A0">
      <w:pPr>
        <w:spacing w:after="0" w:line="240" w:lineRule="auto"/>
        <w:jc w:val="center"/>
        <w:rPr>
          <w:rFonts w:cs="Times New Roman"/>
          <w:color w:val="000000"/>
          <w:lang w:val="hr-HR" w:eastAsia="bs-Latn-BA"/>
        </w:rPr>
      </w:pPr>
      <w:r>
        <w:rPr>
          <w:noProof/>
          <w:lang w:eastAsia="bs-Latn-BA"/>
        </w:rPr>
        <w:lastRenderedPageBreak/>
        <w:drawing>
          <wp:inline distT="0" distB="0" distL="0" distR="0" wp14:anchorId="2106916C" wp14:editId="3486A95E">
            <wp:extent cx="4572000" cy="28575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5552A" w:rsidRDefault="00B5552A" w:rsidP="00564D0F">
      <w:pPr>
        <w:spacing w:after="0" w:line="240" w:lineRule="auto"/>
        <w:rPr>
          <w:rFonts w:cs="Times New Roman"/>
          <w:color w:val="000000"/>
          <w:lang w:val="hr-HR" w:eastAsia="bs-Latn-BA"/>
        </w:rPr>
      </w:pPr>
    </w:p>
    <w:p w:rsidR="004A1D41" w:rsidRPr="004A1D41" w:rsidRDefault="004A1D41" w:rsidP="004A1D41">
      <w:pPr>
        <w:spacing w:after="0" w:line="240" w:lineRule="auto"/>
        <w:jc w:val="both"/>
        <w:rPr>
          <w:rFonts w:cs="Times New Roman"/>
          <w:color w:val="000000"/>
          <w:lang w:val="hr-HR" w:eastAsia="bs-Latn-BA"/>
        </w:rPr>
      </w:pPr>
      <w:r w:rsidRPr="004A1D41">
        <w:rPr>
          <w:rFonts w:cs="Times New Roman"/>
          <w:color w:val="000000"/>
          <w:lang w:val="hr-HR" w:eastAsia="bs-Latn-BA"/>
        </w:rPr>
        <w:t xml:space="preserve">Од укупно поднесеног броја захтјева за покретање прекршајног поступка  у 2019. години, у 2019. години је 6 захтјева процесуирано, од чега су 4 одлуке </w:t>
      </w:r>
      <w:r w:rsidR="0068563F">
        <w:rPr>
          <w:rFonts w:cs="Times New Roman"/>
          <w:color w:val="000000"/>
          <w:lang w:val="sr-Cyrl-BA" w:eastAsia="bs-Latn-BA"/>
        </w:rPr>
        <w:t>правоснажне</w:t>
      </w:r>
      <w:r w:rsidRPr="004A1D41">
        <w:rPr>
          <w:rFonts w:cs="Times New Roman"/>
          <w:color w:val="000000"/>
          <w:lang w:val="hr-HR" w:eastAsia="bs-Latn-BA"/>
        </w:rPr>
        <w:t xml:space="preserve"> и двије </w:t>
      </w:r>
      <w:r w:rsidR="0068563F">
        <w:rPr>
          <w:rFonts w:cs="Times New Roman"/>
          <w:color w:val="000000"/>
          <w:lang w:val="sr-Cyrl-BA" w:eastAsia="bs-Latn-BA"/>
        </w:rPr>
        <w:t>неправоснажне</w:t>
      </w:r>
      <w:r w:rsidRPr="004A1D41">
        <w:rPr>
          <w:rFonts w:cs="Times New Roman"/>
          <w:color w:val="000000"/>
          <w:lang w:val="hr-HR" w:eastAsia="bs-Latn-BA"/>
        </w:rPr>
        <w:t xml:space="preserve">  одлуке, а што указује на спорост судова у процесуирању захтјева.</w:t>
      </w:r>
    </w:p>
    <w:p w:rsidR="004A1D41" w:rsidRPr="004A1D41" w:rsidRDefault="004A1D41" w:rsidP="004A1D41">
      <w:pPr>
        <w:spacing w:after="0" w:line="240" w:lineRule="auto"/>
        <w:jc w:val="both"/>
        <w:rPr>
          <w:rFonts w:cs="Times New Roman"/>
          <w:color w:val="000000"/>
          <w:lang w:val="hr-HR" w:eastAsia="bs-Latn-BA"/>
        </w:rPr>
      </w:pPr>
    </w:p>
    <w:p w:rsidR="004A1D41" w:rsidRPr="004A1D41" w:rsidRDefault="004A1D41" w:rsidP="004A1D41">
      <w:pPr>
        <w:spacing w:after="0" w:line="240" w:lineRule="auto"/>
        <w:jc w:val="both"/>
        <w:rPr>
          <w:rFonts w:cs="Times New Roman"/>
          <w:color w:val="000000"/>
          <w:lang w:val="hr-HR" w:eastAsia="bs-Latn-BA"/>
        </w:rPr>
      </w:pPr>
      <w:r w:rsidRPr="004A1D41">
        <w:rPr>
          <w:rFonts w:cs="Times New Roman"/>
          <w:color w:val="000000"/>
          <w:lang w:val="hr-HR" w:eastAsia="bs-Latn-BA"/>
        </w:rPr>
        <w:t xml:space="preserve">У захтјевима за покретање прекршајног поступка у 2019. години, правни основи  су били </w:t>
      </w:r>
      <w:r w:rsidR="0068563F">
        <w:rPr>
          <w:rFonts w:cs="Times New Roman"/>
          <w:color w:val="000000"/>
          <w:lang w:val="sr-Cyrl-BA" w:eastAsia="bs-Latn-BA"/>
        </w:rPr>
        <w:t>сљедећи</w:t>
      </w:r>
      <w:r w:rsidRPr="004A1D41">
        <w:rPr>
          <w:rFonts w:cs="Times New Roman"/>
          <w:color w:val="000000"/>
          <w:lang w:val="hr-HR" w:eastAsia="bs-Latn-BA"/>
        </w:rPr>
        <w:t>:</w:t>
      </w:r>
    </w:p>
    <w:p w:rsidR="004A1D41" w:rsidRPr="004A1D41" w:rsidRDefault="004A1D41" w:rsidP="004A1D41">
      <w:pPr>
        <w:spacing w:after="0" w:line="240" w:lineRule="auto"/>
        <w:ind w:left="993"/>
        <w:rPr>
          <w:rFonts w:cs="Times New Roman"/>
          <w:color w:val="000000"/>
          <w:lang w:val="hr-HR" w:eastAsia="bs-Latn-BA"/>
        </w:rPr>
      </w:pPr>
      <w:r w:rsidRPr="004A1D41">
        <w:rPr>
          <w:rFonts w:cs="Times New Roman"/>
          <w:color w:val="000000"/>
          <w:lang w:val="hr-HR" w:eastAsia="bs-Latn-BA"/>
        </w:rPr>
        <w:t>а)</w:t>
      </w:r>
      <w:r w:rsidRPr="004A1D41">
        <w:rPr>
          <w:rFonts w:cs="Times New Roman"/>
          <w:color w:val="000000"/>
          <w:lang w:val="hr-HR" w:eastAsia="bs-Latn-BA"/>
        </w:rPr>
        <w:tab/>
        <w:t>Није примјењена одговарајућа врста поступка у складу са Законом ;</w:t>
      </w:r>
    </w:p>
    <w:p w:rsidR="004A1D41" w:rsidRPr="004A1D41" w:rsidRDefault="004A1D41" w:rsidP="004A1D41">
      <w:pPr>
        <w:spacing w:after="0" w:line="240" w:lineRule="auto"/>
        <w:ind w:left="993"/>
        <w:rPr>
          <w:rFonts w:cs="Times New Roman"/>
          <w:color w:val="000000"/>
          <w:lang w:val="hr-HR" w:eastAsia="bs-Latn-BA"/>
        </w:rPr>
      </w:pPr>
      <w:r w:rsidRPr="004A1D41">
        <w:rPr>
          <w:rFonts w:cs="Times New Roman"/>
          <w:color w:val="000000"/>
          <w:lang w:val="hr-HR" w:eastAsia="bs-Latn-BA"/>
        </w:rPr>
        <w:t>б)</w:t>
      </w:r>
      <w:r w:rsidRPr="004A1D41">
        <w:rPr>
          <w:rFonts w:cs="Times New Roman"/>
          <w:color w:val="000000"/>
          <w:lang w:val="hr-HR" w:eastAsia="bs-Latn-BA"/>
        </w:rPr>
        <w:tab/>
        <w:t>Није објављен план јавних набавки,</w:t>
      </w:r>
    </w:p>
    <w:p w:rsidR="004A1D41" w:rsidRPr="004A1D41" w:rsidRDefault="004A1D41" w:rsidP="0068563F">
      <w:pPr>
        <w:spacing w:after="0" w:line="240" w:lineRule="auto"/>
        <w:ind w:left="1418" w:hanging="425"/>
        <w:rPr>
          <w:rFonts w:cs="Times New Roman"/>
          <w:color w:val="000000"/>
          <w:lang w:val="hr-HR" w:eastAsia="bs-Latn-BA"/>
        </w:rPr>
      </w:pPr>
      <w:r w:rsidRPr="004A1D41">
        <w:rPr>
          <w:rFonts w:cs="Times New Roman"/>
          <w:color w:val="000000"/>
          <w:lang w:val="hr-HR" w:eastAsia="bs-Latn-BA"/>
        </w:rPr>
        <w:t>ц)</w:t>
      </w:r>
      <w:r w:rsidRPr="004A1D41">
        <w:rPr>
          <w:rFonts w:cs="Times New Roman"/>
          <w:color w:val="000000"/>
          <w:lang w:val="hr-HR" w:eastAsia="bs-Latn-BA"/>
        </w:rPr>
        <w:tab/>
        <w:t>Проведен преговарачки поступак без објаве обавјештења, иако нису били испуњени услови за примјену ове врсте поступка јавне набавке,</w:t>
      </w:r>
    </w:p>
    <w:p w:rsidR="004A1D41" w:rsidRPr="004A1D41" w:rsidRDefault="004A1D41" w:rsidP="0068563F">
      <w:pPr>
        <w:spacing w:after="0" w:line="240" w:lineRule="auto"/>
        <w:ind w:left="1418" w:hanging="425"/>
        <w:rPr>
          <w:rFonts w:cs="Times New Roman"/>
          <w:color w:val="000000"/>
          <w:lang w:val="hr-HR" w:eastAsia="bs-Latn-BA"/>
        </w:rPr>
      </w:pPr>
      <w:r w:rsidRPr="004A1D41">
        <w:rPr>
          <w:rFonts w:cs="Times New Roman"/>
          <w:color w:val="000000"/>
          <w:lang w:val="hr-HR" w:eastAsia="bs-Latn-BA"/>
        </w:rPr>
        <w:t>д)</w:t>
      </w:r>
      <w:r w:rsidRPr="004A1D41">
        <w:rPr>
          <w:rFonts w:cs="Times New Roman"/>
          <w:color w:val="000000"/>
          <w:lang w:val="hr-HR" w:eastAsia="bs-Latn-BA"/>
        </w:rPr>
        <w:tab/>
        <w:t>Дијељење предмета набавке у циљу избјегавања примјене одговарајуће врсте поступка јавне набавке,</w:t>
      </w:r>
    </w:p>
    <w:p w:rsidR="005E5CB5" w:rsidRDefault="004A1D41" w:rsidP="004A1D41">
      <w:pPr>
        <w:spacing w:after="0" w:line="240" w:lineRule="auto"/>
        <w:ind w:left="993"/>
        <w:rPr>
          <w:rFonts w:cs="Times New Roman"/>
          <w:color w:val="000000"/>
          <w:lang w:val="hr-HR" w:eastAsia="bs-Latn-BA"/>
        </w:rPr>
      </w:pPr>
      <w:r w:rsidRPr="004A1D41">
        <w:rPr>
          <w:rFonts w:cs="Times New Roman"/>
          <w:color w:val="000000"/>
          <w:lang w:val="hr-HR" w:eastAsia="bs-Latn-BA"/>
        </w:rPr>
        <w:t>е)</w:t>
      </w:r>
      <w:r w:rsidRPr="004A1D41">
        <w:rPr>
          <w:rFonts w:cs="Times New Roman"/>
          <w:color w:val="000000"/>
          <w:lang w:val="hr-HR" w:eastAsia="bs-Latn-BA"/>
        </w:rPr>
        <w:tab/>
        <w:t>Није достављен извјештај у складу са Зак</w:t>
      </w:r>
      <w:r w:rsidR="0068563F">
        <w:rPr>
          <w:rFonts w:cs="Times New Roman"/>
          <w:color w:val="000000"/>
          <w:lang w:val="hr-HR" w:eastAsia="bs-Latn-BA"/>
        </w:rPr>
        <w:t>оном и подз</w:t>
      </w:r>
      <w:r w:rsidRPr="004A1D41">
        <w:rPr>
          <w:rFonts w:cs="Times New Roman"/>
          <w:color w:val="000000"/>
          <w:lang w:val="hr-HR" w:eastAsia="bs-Latn-BA"/>
        </w:rPr>
        <w:t>аконским актима.</w:t>
      </w:r>
    </w:p>
    <w:p w:rsidR="004A1D41" w:rsidRDefault="004A1D41" w:rsidP="004A1D41">
      <w:pPr>
        <w:spacing w:after="0" w:line="240" w:lineRule="auto"/>
        <w:ind w:left="993"/>
        <w:rPr>
          <w:rFonts w:cs="Times New Roman"/>
          <w:color w:val="000000"/>
          <w:lang w:val="hr-HR" w:eastAsia="bs-Latn-BA"/>
        </w:rPr>
      </w:pPr>
    </w:p>
    <w:p w:rsidR="004A1D41" w:rsidRPr="004A1D41" w:rsidRDefault="004A1D41" w:rsidP="004A1D41">
      <w:pPr>
        <w:spacing w:after="0" w:line="240" w:lineRule="auto"/>
        <w:jc w:val="both"/>
        <w:rPr>
          <w:rFonts w:cs="Times New Roman"/>
          <w:color w:val="000000"/>
          <w:lang w:val="hr-HR" w:eastAsia="bs-Latn-BA"/>
        </w:rPr>
      </w:pPr>
      <w:r w:rsidRPr="004A1D41">
        <w:rPr>
          <w:rFonts w:cs="Times New Roman"/>
          <w:color w:val="000000"/>
          <w:lang w:val="hr-HR" w:eastAsia="bs-Latn-BA"/>
        </w:rPr>
        <w:t xml:space="preserve">Иако Агенција има надлежност да поднесе захтјев за покретање прекршајног поступка само у случају када није изјављена жалба, уочена је потреба да се измјене одредбе члана 116. став (2) Закона, те прецизније дефинишу ситуације када се може поднијети захтјев за покретање прекршајног поступка. Наиме, кроз примјену ове одредбе уочено је да неки од дефинисаних случајева су непримјењиви ( напр. архивирање документације), а неки случајеви који се јављају у пракси нису дефинисани (напр. примјена е-аукције, необјављивање реализације уговора). </w:t>
      </w:r>
    </w:p>
    <w:p w:rsidR="004A1D41" w:rsidRPr="004A1D41" w:rsidRDefault="004A1D41" w:rsidP="004A1D41">
      <w:pPr>
        <w:spacing w:after="0" w:line="240" w:lineRule="auto"/>
        <w:jc w:val="both"/>
        <w:rPr>
          <w:rFonts w:cs="Times New Roman"/>
          <w:color w:val="000000"/>
          <w:lang w:val="hr-HR" w:eastAsia="bs-Latn-BA"/>
        </w:rPr>
      </w:pPr>
    </w:p>
    <w:p w:rsidR="00C9685B" w:rsidRPr="005E5CB5" w:rsidRDefault="004A1D41" w:rsidP="004A1D41">
      <w:pPr>
        <w:spacing w:after="0" w:line="240" w:lineRule="auto"/>
        <w:jc w:val="both"/>
        <w:rPr>
          <w:rFonts w:cs="Times New Roman"/>
          <w:color w:val="000000"/>
          <w:lang w:val="hr-HR" w:eastAsia="bs-Latn-BA"/>
        </w:rPr>
      </w:pPr>
      <w:r w:rsidRPr="004A1D41">
        <w:rPr>
          <w:rFonts w:cs="Times New Roman"/>
          <w:color w:val="000000"/>
          <w:lang w:val="hr-HR" w:eastAsia="bs-Latn-BA"/>
        </w:rPr>
        <w:t>Агенција у наредном периоду планира интезивирати ову надлежност, јер у протеклим годинама, када је праћење имало сврху упозо</w:t>
      </w:r>
      <w:r w:rsidR="0068563F">
        <w:rPr>
          <w:rFonts w:cs="Times New Roman"/>
          <w:color w:val="000000"/>
          <w:lang w:val="hr-HR" w:eastAsia="bs-Latn-BA"/>
        </w:rPr>
        <w:t>равања на погрешна поступања,  дј</w:t>
      </w:r>
      <w:r w:rsidRPr="004A1D41">
        <w:rPr>
          <w:rFonts w:cs="Times New Roman"/>
          <w:color w:val="000000"/>
          <w:lang w:val="hr-HR" w:eastAsia="bs-Latn-BA"/>
        </w:rPr>
        <w:t xml:space="preserve">еловало и превентивно и едукативно, нису се постигли пуни ефекти </w:t>
      </w:r>
      <w:r w:rsidR="0068563F">
        <w:rPr>
          <w:rFonts w:cs="Times New Roman"/>
          <w:color w:val="000000"/>
          <w:lang w:val="sr-Cyrl-BA" w:eastAsia="bs-Latn-BA"/>
        </w:rPr>
        <w:t>превенције</w:t>
      </w:r>
      <w:r w:rsidRPr="004A1D41">
        <w:rPr>
          <w:rFonts w:cs="Times New Roman"/>
          <w:color w:val="000000"/>
          <w:lang w:val="hr-HR" w:eastAsia="bs-Latn-BA"/>
        </w:rPr>
        <w:t xml:space="preserve"> потенцијалних злоупотреба и корупције. Стога је нужно потребно обезбједити Агенцији и финансијско и кадровско јачање у реализацији ове надлежности</w:t>
      </w:r>
      <w:r w:rsidR="00090ABB">
        <w:rPr>
          <w:rFonts w:cs="Times New Roman"/>
          <w:color w:val="000000"/>
          <w:lang w:val="hr-HR" w:eastAsia="bs-Latn-BA"/>
        </w:rPr>
        <w:t xml:space="preserve">. </w:t>
      </w:r>
    </w:p>
    <w:p w:rsidR="00B5552A" w:rsidRDefault="00B5552A" w:rsidP="004D31A0">
      <w:pPr>
        <w:spacing w:after="0" w:line="240" w:lineRule="auto"/>
        <w:jc w:val="center"/>
        <w:rPr>
          <w:rFonts w:cs="Times New Roman"/>
          <w:color w:val="000000"/>
          <w:lang w:val="hr-HR" w:eastAsia="bs-Latn-BA"/>
        </w:rPr>
      </w:pPr>
    </w:p>
    <w:p w:rsidR="00357709" w:rsidRPr="0035194A" w:rsidRDefault="004A1D41" w:rsidP="00CC506F">
      <w:pPr>
        <w:pStyle w:val="ListParagraph"/>
        <w:numPr>
          <w:ilvl w:val="0"/>
          <w:numId w:val="2"/>
        </w:numPr>
        <w:spacing w:after="0" w:line="240" w:lineRule="auto"/>
        <w:jc w:val="both"/>
        <w:rPr>
          <w:rFonts w:cs="Times New Roman"/>
          <w:b/>
          <w:color w:val="000000"/>
          <w:sz w:val="24"/>
          <w:szCs w:val="24"/>
          <w:lang w:val="hr-HR" w:eastAsia="bs-Latn-BA"/>
        </w:rPr>
      </w:pPr>
      <w:r>
        <w:rPr>
          <w:rFonts w:cs="Times New Roman"/>
          <w:b/>
          <w:color w:val="000000"/>
          <w:sz w:val="24"/>
          <w:szCs w:val="24"/>
          <w:lang w:val="sr-Cyrl-BA" w:eastAsia="bs-Latn-BA"/>
        </w:rPr>
        <w:t xml:space="preserve">Планирање и реализација набавки </w:t>
      </w:r>
    </w:p>
    <w:p w:rsidR="00357709" w:rsidRPr="00335CF5" w:rsidRDefault="00357709" w:rsidP="00357709">
      <w:pPr>
        <w:spacing w:after="0" w:line="240" w:lineRule="auto"/>
        <w:jc w:val="both"/>
        <w:rPr>
          <w:rFonts w:cs="Times New Roman"/>
          <w:b/>
          <w:color w:val="000000"/>
          <w:lang w:val="hr-HR" w:eastAsia="bs-Latn-BA"/>
        </w:rPr>
      </w:pPr>
    </w:p>
    <w:p w:rsidR="004A1D41" w:rsidRPr="004A1D41" w:rsidRDefault="004A1D41" w:rsidP="004A1D41">
      <w:pPr>
        <w:spacing w:after="0" w:line="240" w:lineRule="auto"/>
        <w:jc w:val="both"/>
        <w:rPr>
          <w:rFonts w:cs="Times New Roman"/>
          <w:color w:val="000000"/>
          <w:lang w:val="hr-HR" w:eastAsia="bs-Latn-BA"/>
        </w:rPr>
      </w:pPr>
      <w:r w:rsidRPr="004A1D41">
        <w:rPr>
          <w:rFonts w:cs="Times New Roman"/>
          <w:color w:val="000000"/>
          <w:lang w:val="hr-HR" w:eastAsia="bs-Latn-BA"/>
        </w:rPr>
        <w:t>Планирање набавки у Босни и Херцеговини представља један о</w:t>
      </w:r>
      <w:r w:rsidR="0068563F">
        <w:rPr>
          <w:rFonts w:cs="Times New Roman"/>
          <w:color w:val="000000"/>
          <w:lang w:val="hr-HR" w:eastAsia="bs-Latn-BA"/>
        </w:rPr>
        <w:t>д основних проблема у функционис</w:t>
      </w:r>
      <w:r w:rsidRPr="004A1D41">
        <w:rPr>
          <w:rFonts w:cs="Times New Roman"/>
          <w:color w:val="000000"/>
          <w:lang w:val="hr-HR" w:eastAsia="bs-Latn-BA"/>
        </w:rPr>
        <w:t xml:space="preserve">ању система јавних набавки, односно планирање је једна од битних слабости система јавних набавки у БиХ   Наиме, правовремено усвојени планови јавних набавки су основа за правовремено покретање поступака јавних набавки. Агенција за јавне набавке је у протеклом </w:t>
      </w:r>
      <w:r w:rsidRPr="004A1D41">
        <w:rPr>
          <w:rFonts w:cs="Times New Roman"/>
          <w:color w:val="000000"/>
          <w:lang w:val="hr-HR" w:eastAsia="bs-Latn-BA"/>
        </w:rPr>
        <w:lastRenderedPageBreak/>
        <w:t xml:space="preserve">периоду пратила планове набавки уговорних орган, као и реализацију уговора и утврдила </w:t>
      </w:r>
      <w:r w:rsidR="0068563F">
        <w:rPr>
          <w:rFonts w:cs="Times New Roman"/>
          <w:color w:val="000000"/>
          <w:lang w:val="sr-Cyrl-BA" w:eastAsia="bs-Latn-BA"/>
        </w:rPr>
        <w:t>сљедеће</w:t>
      </w:r>
      <w:r w:rsidRPr="004A1D41">
        <w:rPr>
          <w:rFonts w:cs="Times New Roman"/>
          <w:color w:val="000000"/>
          <w:lang w:val="hr-HR" w:eastAsia="bs-Latn-BA"/>
        </w:rPr>
        <w:t>:</w:t>
      </w:r>
    </w:p>
    <w:p w:rsidR="004A1D41" w:rsidRPr="004A1D41" w:rsidRDefault="004A1D41" w:rsidP="004A1D41">
      <w:pPr>
        <w:spacing w:after="0" w:line="240" w:lineRule="auto"/>
        <w:jc w:val="both"/>
        <w:rPr>
          <w:rFonts w:cs="Times New Roman"/>
          <w:color w:val="000000"/>
          <w:lang w:val="hr-HR" w:eastAsia="bs-Latn-BA"/>
        </w:rPr>
      </w:pPr>
    </w:p>
    <w:p w:rsidR="004A1D41" w:rsidRPr="004A1D41" w:rsidRDefault="004A1D41" w:rsidP="004A1D41">
      <w:pPr>
        <w:spacing w:after="0" w:line="240" w:lineRule="auto"/>
        <w:ind w:left="851"/>
        <w:jc w:val="both"/>
        <w:rPr>
          <w:rFonts w:cs="Times New Roman"/>
          <w:color w:val="000000"/>
          <w:lang w:val="hr-HR" w:eastAsia="bs-Latn-BA"/>
        </w:rPr>
      </w:pPr>
      <w:r w:rsidRPr="004A1D41">
        <w:rPr>
          <w:rFonts w:cs="Times New Roman"/>
          <w:color w:val="000000"/>
          <w:lang w:val="hr-HR" w:eastAsia="bs-Latn-BA"/>
        </w:rPr>
        <w:t>-</w:t>
      </w:r>
      <w:r w:rsidRPr="004A1D41">
        <w:rPr>
          <w:rFonts w:cs="Times New Roman"/>
          <w:color w:val="000000"/>
          <w:lang w:val="hr-HR" w:eastAsia="bs-Latn-BA"/>
        </w:rPr>
        <w:tab/>
        <w:t xml:space="preserve">Планови набавки на </w:t>
      </w:r>
      <w:r w:rsidR="0068563F">
        <w:rPr>
          <w:rFonts w:cs="Times New Roman"/>
          <w:color w:val="000000"/>
          <w:lang w:val="sr-Cyrl-BA" w:eastAsia="bs-Latn-BA"/>
        </w:rPr>
        <w:t>интернет</w:t>
      </w:r>
      <w:r w:rsidRPr="004A1D41">
        <w:rPr>
          <w:rFonts w:cs="Times New Roman"/>
          <w:color w:val="000000"/>
          <w:lang w:val="hr-HR" w:eastAsia="bs-Latn-BA"/>
        </w:rPr>
        <w:t xml:space="preserve"> страницама су различито доступни,</w:t>
      </w:r>
    </w:p>
    <w:p w:rsidR="004A1D41" w:rsidRPr="004A1D41" w:rsidRDefault="004A1D41" w:rsidP="004A1D41">
      <w:pPr>
        <w:spacing w:after="0" w:line="240" w:lineRule="auto"/>
        <w:ind w:left="851"/>
        <w:jc w:val="both"/>
        <w:rPr>
          <w:rFonts w:cs="Times New Roman"/>
          <w:color w:val="000000"/>
          <w:lang w:val="hr-HR" w:eastAsia="bs-Latn-BA"/>
        </w:rPr>
      </w:pPr>
      <w:r w:rsidRPr="004A1D41">
        <w:rPr>
          <w:rFonts w:cs="Times New Roman"/>
          <w:color w:val="000000"/>
          <w:lang w:val="hr-HR" w:eastAsia="bs-Latn-BA"/>
        </w:rPr>
        <w:t>-</w:t>
      </w:r>
      <w:r w:rsidRPr="004A1D41">
        <w:rPr>
          <w:rFonts w:cs="Times New Roman"/>
          <w:color w:val="000000"/>
          <w:lang w:val="hr-HR" w:eastAsia="bs-Latn-BA"/>
        </w:rPr>
        <w:tab/>
        <w:t>Подаци које садрже планови набавки су различити,</w:t>
      </w:r>
    </w:p>
    <w:p w:rsidR="004A1D41" w:rsidRPr="004A1D41" w:rsidRDefault="004A1D41" w:rsidP="0068563F">
      <w:pPr>
        <w:spacing w:after="0" w:line="240" w:lineRule="auto"/>
        <w:ind w:left="1418" w:hanging="567"/>
        <w:jc w:val="both"/>
        <w:rPr>
          <w:rFonts w:cs="Times New Roman"/>
          <w:color w:val="000000"/>
          <w:lang w:val="hr-HR" w:eastAsia="bs-Latn-BA"/>
        </w:rPr>
      </w:pPr>
      <w:r w:rsidRPr="004A1D41">
        <w:rPr>
          <w:rFonts w:cs="Times New Roman"/>
          <w:color w:val="000000"/>
          <w:lang w:val="hr-HR" w:eastAsia="bs-Latn-BA"/>
        </w:rPr>
        <w:t>-</w:t>
      </w:r>
      <w:r w:rsidRPr="004A1D41">
        <w:rPr>
          <w:rFonts w:cs="Times New Roman"/>
          <w:color w:val="000000"/>
          <w:lang w:val="hr-HR" w:eastAsia="bs-Latn-BA"/>
        </w:rPr>
        <w:tab/>
        <w:t>Планови набавки код великих система који имају и зависна друштва (електроенергетски сектор) су непрегледни, измјешани, тешко је издвојити план набавки матичног друштва од планова набавки зависних друштава;</w:t>
      </w:r>
    </w:p>
    <w:p w:rsidR="004A1D41" w:rsidRPr="004A1D41" w:rsidRDefault="004A1D41" w:rsidP="0068563F">
      <w:pPr>
        <w:spacing w:after="0" w:line="240" w:lineRule="auto"/>
        <w:ind w:left="1418" w:hanging="567"/>
        <w:jc w:val="both"/>
        <w:rPr>
          <w:rFonts w:cs="Times New Roman"/>
          <w:color w:val="000000"/>
          <w:lang w:val="hr-HR" w:eastAsia="bs-Latn-BA"/>
        </w:rPr>
      </w:pPr>
      <w:r w:rsidRPr="004A1D41">
        <w:rPr>
          <w:rFonts w:cs="Times New Roman"/>
          <w:color w:val="000000"/>
          <w:lang w:val="hr-HR" w:eastAsia="bs-Latn-BA"/>
        </w:rPr>
        <w:t>-</w:t>
      </w:r>
      <w:r w:rsidRPr="004A1D41">
        <w:rPr>
          <w:rFonts w:cs="Times New Roman"/>
          <w:color w:val="000000"/>
          <w:lang w:val="hr-HR" w:eastAsia="bs-Latn-BA"/>
        </w:rPr>
        <w:tab/>
        <w:t>Објава набавки малих вриједности се спорадично објављује, иако се збирно, по уговорном органу ради о великим вриједностима.</w:t>
      </w:r>
    </w:p>
    <w:p w:rsidR="004A1D41" w:rsidRPr="004A1D41" w:rsidRDefault="004A1D41" w:rsidP="004A1D41">
      <w:pPr>
        <w:spacing w:after="0" w:line="240" w:lineRule="auto"/>
        <w:jc w:val="both"/>
        <w:rPr>
          <w:rFonts w:cs="Times New Roman"/>
          <w:color w:val="000000"/>
          <w:lang w:val="hr-HR" w:eastAsia="bs-Latn-BA"/>
        </w:rPr>
      </w:pPr>
    </w:p>
    <w:p w:rsidR="004A1D41" w:rsidRPr="004A1D41" w:rsidRDefault="004A1D41" w:rsidP="004A1D41">
      <w:pPr>
        <w:spacing w:after="0" w:line="240" w:lineRule="auto"/>
        <w:jc w:val="both"/>
        <w:rPr>
          <w:rFonts w:cs="Times New Roman"/>
          <w:color w:val="000000"/>
          <w:lang w:val="hr-HR" w:eastAsia="bs-Latn-BA"/>
        </w:rPr>
      </w:pPr>
      <w:r w:rsidRPr="004A1D41">
        <w:rPr>
          <w:rFonts w:cs="Times New Roman"/>
          <w:color w:val="000000"/>
          <w:lang w:val="hr-HR" w:eastAsia="bs-Latn-BA"/>
        </w:rPr>
        <w:t xml:space="preserve">Уред за ревизију Босне и Херцеговине је сачинио извјештај Ревизије учинка: „Благовременост поступака јавних набавки у институцијама БиХ“, а </w:t>
      </w:r>
      <w:r w:rsidR="0068563F">
        <w:rPr>
          <w:rFonts w:cs="Times New Roman"/>
          <w:color w:val="000000"/>
          <w:lang w:val="sr-Cyrl-BA" w:eastAsia="bs-Latn-BA"/>
        </w:rPr>
        <w:t>Савјет</w:t>
      </w:r>
      <w:r w:rsidR="0068563F">
        <w:rPr>
          <w:rFonts w:cs="Times New Roman"/>
          <w:color w:val="000000"/>
          <w:lang w:val="hr-HR" w:eastAsia="bs-Latn-BA"/>
        </w:rPr>
        <w:t xml:space="preserve"> министара БиХ је задужи</w:t>
      </w:r>
      <w:r w:rsidRPr="004A1D41">
        <w:rPr>
          <w:rFonts w:cs="Times New Roman"/>
          <w:color w:val="000000"/>
          <w:lang w:val="hr-HR" w:eastAsia="bs-Latn-BA"/>
        </w:rPr>
        <w:t>о Агенциј</w:t>
      </w:r>
      <w:r w:rsidR="0068563F">
        <w:rPr>
          <w:rFonts w:cs="Times New Roman"/>
          <w:color w:val="000000"/>
          <w:lang w:val="hr-HR" w:eastAsia="bs-Latn-BA"/>
        </w:rPr>
        <w:t>у да сачини извјештај о реализов</w:t>
      </w:r>
      <w:r w:rsidRPr="004A1D41">
        <w:rPr>
          <w:rFonts w:cs="Times New Roman"/>
          <w:color w:val="000000"/>
          <w:lang w:val="hr-HR" w:eastAsia="bs-Latn-BA"/>
        </w:rPr>
        <w:t>аним препорукама и у Извјештају навела:</w:t>
      </w:r>
    </w:p>
    <w:p w:rsidR="004A1D41" w:rsidRPr="004A1D41" w:rsidRDefault="004A1D41" w:rsidP="004A1D41">
      <w:pPr>
        <w:spacing w:after="0" w:line="240" w:lineRule="auto"/>
        <w:jc w:val="both"/>
        <w:rPr>
          <w:rFonts w:cs="Times New Roman"/>
          <w:color w:val="000000"/>
          <w:lang w:val="hr-HR" w:eastAsia="bs-Latn-BA"/>
        </w:rPr>
      </w:pPr>
    </w:p>
    <w:p w:rsidR="005B33C5" w:rsidRDefault="004A1D41" w:rsidP="004A1D41">
      <w:pPr>
        <w:spacing w:after="0" w:line="240" w:lineRule="auto"/>
        <w:jc w:val="both"/>
        <w:rPr>
          <w:rFonts w:cs="Times New Roman"/>
          <w:color w:val="000000"/>
          <w:lang w:val="hr-HR" w:eastAsia="bs-Latn-BA"/>
        </w:rPr>
      </w:pPr>
      <w:r w:rsidRPr="004A1D41">
        <w:rPr>
          <w:rFonts w:cs="Times New Roman"/>
          <w:color w:val="000000"/>
          <w:lang w:val="hr-HR" w:eastAsia="bs-Latn-BA"/>
        </w:rPr>
        <w:t xml:space="preserve">„Агенција је извршила праћење 73 институције БИХ. Од 73 институције БИХ које су биле преглед праћења, допис је послан према 36 институција за </w:t>
      </w:r>
      <w:r w:rsidR="00744385">
        <w:rPr>
          <w:rFonts w:cs="Times New Roman"/>
          <w:color w:val="000000"/>
          <w:lang w:val="sr-Cyrl-BA" w:eastAsia="bs-Latn-BA"/>
        </w:rPr>
        <w:t>изјашњење</w:t>
      </w:r>
      <w:r w:rsidRPr="004A1D41">
        <w:rPr>
          <w:rFonts w:cs="Times New Roman"/>
          <w:color w:val="000000"/>
          <w:lang w:val="hr-HR" w:eastAsia="bs-Latn-BA"/>
        </w:rPr>
        <w:t xml:space="preserve"> зашто нису објавиле план набавки на својој </w:t>
      </w:r>
      <w:r w:rsidR="00744385">
        <w:rPr>
          <w:rFonts w:cs="Times New Roman"/>
          <w:color w:val="000000"/>
          <w:lang w:val="sr-Cyrl-BA" w:eastAsia="bs-Latn-BA"/>
        </w:rPr>
        <w:t>интернет</w:t>
      </w:r>
      <w:r w:rsidRPr="004A1D41">
        <w:rPr>
          <w:rFonts w:cs="Times New Roman"/>
          <w:color w:val="000000"/>
          <w:lang w:val="hr-HR" w:eastAsia="bs-Latn-BA"/>
        </w:rPr>
        <w:t xml:space="preserve"> страници према члану 17. Закона.“</w:t>
      </w:r>
    </w:p>
    <w:p w:rsidR="004A1D41" w:rsidRPr="004A1D41" w:rsidRDefault="004A1D41" w:rsidP="004A1D41">
      <w:pPr>
        <w:spacing w:after="0" w:line="240" w:lineRule="auto"/>
        <w:jc w:val="both"/>
        <w:rPr>
          <w:rStyle w:val="Strong"/>
          <w:b w:val="0"/>
          <w:i/>
          <w:color w:val="000000"/>
          <w:lang w:val="hr-HR" w:eastAsia="bs-Latn-BA"/>
        </w:rPr>
      </w:pPr>
    </w:p>
    <w:p w:rsidR="004A1D41" w:rsidRPr="004A1D41" w:rsidRDefault="00744385" w:rsidP="004A1D41">
      <w:pPr>
        <w:spacing w:after="0" w:line="240" w:lineRule="auto"/>
        <w:jc w:val="both"/>
        <w:rPr>
          <w:rStyle w:val="Strong"/>
          <w:b w:val="0"/>
        </w:rPr>
      </w:pPr>
      <w:r>
        <w:rPr>
          <w:rStyle w:val="Strong"/>
          <w:b w:val="0"/>
        </w:rPr>
        <w:t>Овдј</w:t>
      </w:r>
      <w:r w:rsidR="004A1D41" w:rsidRPr="004A1D41">
        <w:rPr>
          <w:rStyle w:val="Strong"/>
          <w:b w:val="0"/>
        </w:rPr>
        <w:t xml:space="preserve">е је важно нагласити да већина институција која није објавила план набавки, имају набавке малих вриједности за које не постоји законска обавеза објављивања. Пратећи планове набавки и реализацију уговора, Агенција је идентификовала </w:t>
      </w:r>
      <w:r>
        <w:rPr>
          <w:rStyle w:val="Strong"/>
          <w:b w:val="0"/>
          <w:lang w:val="sr-Cyrl-BA"/>
        </w:rPr>
        <w:t>сљедеће</w:t>
      </w:r>
      <w:r w:rsidR="004A1D41" w:rsidRPr="004A1D41">
        <w:rPr>
          <w:rStyle w:val="Strong"/>
          <w:b w:val="0"/>
        </w:rPr>
        <w:t>:</w:t>
      </w:r>
    </w:p>
    <w:p w:rsidR="004A1D41" w:rsidRPr="004A1D41" w:rsidRDefault="004A1D41" w:rsidP="004A1D41">
      <w:pPr>
        <w:spacing w:after="0" w:line="240" w:lineRule="auto"/>
        <w:ind w:left="1276"/>
        <w:jc w:val="both"/>
        <w:rPr>
          <w:rStyle w:val="Strong"/>
          <w:b w:val="0"/>
        </w:rPr>
      </w:pPr>
      <w:r w:rsidRPr="004A1D41">
        <w:rPr>
          <w:rStyle w:val="Strong"/>
          <w:b w:val="0"/>
        </w:rPr>
        <w:t>-</w:t>
      </w:r>
      <w:r w:rsidRPr="004A1D41">
        <w:rPr>
          <w:rStyle w:val="Strong"/>
          <w:b w:val="0"/>
        </w:rPr>
        <w:tab/>
        <w:t>Касно усвајње финансијског плана,</w:t>
      </w:r>
    </w:p>
    <w:p w:rsidR="004A1D41" w:rsidRPr="004A1D41" w:rsidRDefault="004A1D41" w:rsidP="004A1D41">
      <w:pPr>
        <w:spacing w:after="0" w:line="240" w:lineRule="auto"/>
        <w:ind w:left="1276"/>
        <w:jc w:val="both"/>
        <w:rPr>
          <w:rStyle w:val="Strong"/>
          <w:b w:val="0"/>
        </w:rPr>
      </w:pPr>
      <w:r w:rsidRPr="004A1D41">
        <w:rPr>
          <w:rStyle w:val="Strong"/>
          <w:b w:val="0"/>
        </w:rPr>
        <w:t>-</w:t>
      </w:r>
      <w:r w:rsidRPr="004A1D41">
        <w:rPr>
          <w:rStyle w:val="Strong"/>
          <w:b w:val="0"/>
        </w:rPr>
        <w:tab/>
        <w:t>Кашњење у доношењу плана набавки,</w:t>
      </w:r>
    </w:p>
    <w:p w:rsidR="004A1D41" w:rsidRPr="004A1D41" w:rsidRDefault="004A1D41" w:rsidP="004A1D41">
      <w:pPr>
        <w:spacing w:after="0" w:line="240" w:lineRule="auto"/>
        <w:ind w:left="1276"/>
        <w:jc w:val="both"/>
        <w:rPr>
          <w:rStyle w:val="Strong"/>
          <w:b w:val="0"/>
        </w:rPr>
      </w:pPr>
      <w:r w:rsidRPr="004A1D41">
        <w:rPr>
          <w:rStyle w:val="Strong"/>
          <w:b w:val="0"/>
        </w:rPr>
        <w:t>-</w:t>
      </w:r>
      <w:r w:rsidRPr="004A1D41">
        <w:rPr>
          <w:rStyle w:val="Strong"/>
          <w:b w:val="0"/>
        </w:rPr>
        <w:tab/>
        <w:t>Сви имају интерна акта којим је дефинисан процес планирања,</w:t>
      </w:r>
    </w:p>
    <w:p w:rsidR="004A1D41" w:rsidRPr="004A1D41" w:rsidRDefault="004A1D41" w:rsidP="004A1D41">
      <w:pPr>
        <w:spacing w:after="0" w:line="240" w:lineRule="auto"/>
        <w:ind w:left="1276"/>
        <w:jc w:val="both"/>
        <w:rPr>
          <w:rStyle w:val="Strong"/>
          <w:b w:val="0"/>
        </w:rPr>
      </w:pPr>
      <w:r w:rsidRPr="004A1D41">
        <w:rPr>
          <w:rStyle w:val="Strong"/>
          <w:b w:val="0"/>
        </w:rPr>
        <w:t>-</w:t>
      </w:r>
      <w:r w:rsidRPr="004A1D41">
        <w:rPr>
          <w:rStyle w:val="Strong"/>
          <w:b w:val="0"/>
        </w:rPr>
        <w:tab/>
        <w:t>Интерни мониторинг поступака јавних набавки се ради спорадично,</w:t>
      </w:r>
    </w:p>
    <w:p w:rsidR="004A1D41" w:rsidRPr="004A1D41" w:rsidRDefault="004A1D41" w:rsidP="004A1D41">
      <w:pPr>
        <w:spacing w:after="0" w:line="240" w:lineRule="auto"/>
        <w:ind w:left="1276"/>
        <w:jc w:val="both"/>
        <w:rPr>
          <w:rStyle w:val="Strong"/>
          <w:b w:val="0"/>
        </w:rPr>
      </w:pPr>
      <w:r w:rsidRPr="004A1D41">
        <w:rPr>
          <w:rStyle w:val="Strong"/>
          <w:b w:val="0"/>
        </w:rPr>
        <w:t>-</w:t>
      </w:r>
      <w:r w:rsidRPr="004A1D41">
        <w:rPr>
          <w:rStyle w:val="Strong"/>
          <w:b w:val="0"/>
        </w:rPr>
        <w:tab/>
        <w:t>Испитивање тржишта врло ограничено,</w:t>
      </w:r>
    </w:p>
    <w:p w:rsidR="004A1D41" w:rsidRPr="004A1D41" w:rsidRDefault="004A1D41" w:rsidP="004A1D41">
      <w:pPr>
        <w:spacing w:after="0" w:line="240" w:lineRule="auto"/>
        <w:ind w:left="1276"/>
        <w:jc w:val="both"/>
        <w:rPr>
          <w:rStyle w:val="Strong"/>
          <w:b w:val="0"/>
        </w:rPr>
      </w:pPr>
      <w:r w:rsidRPr="004A1D41">
        <w:rPr>
          <w:rStyle w:val="Strong"/>
          <w:b w:val="0"/>
        </w:rPr>
        <w:t>-</w:t>
      </w:r>
      <w:r w:rsidRPr="004A1D41">
        <w:rPr>
          <w:rStyle w:val="Strong"/>
          <w:b w:val="0"/>
        </w:rPr>
        <w:tab/>
        <w:t>Честе измјене планова набавки,</w:t>
      </w:r>
    </w:p>
    <w:p w:rsidR="004A1D41" w:rsidRDefault="004A1D41" w:rsidP="004A1D41">
      <w:pPr>
        <w:spacing w:after="0" w:line="240" w:lineRule="auto"/>
        <w:ind w:left="1418" w:hanging="142"/>
        <w:jc w:val="both"/>
        <w:rPr>
          <w:rStyle w:val="Strong"/>
          <w:b w:val="0"/>
        </w:rPr>
      </w:pPr>
      <w:r w:rsidRPr="004A1D41">
        <w:rPr>
          <w:rStyle w:val="Strong"/>
          <w:b w:val="0"/>
        </w:rPr>
        <w:t>-</w:t>
      </w:r>
      <w:r w:rsidRPr="004A1D41">
        <w:rPr>
          <w:rStyle w:val="Strong"/>
          <w:b w:val="0"/>
        </w:rPr>
        <w:tab/>
        <w:t>Већи број преговарачких поступака без објаве обавјештења у односу на планирани број.</w:t>
      </w:r>
    </w:p>
    <w:p w:rsidR="004A1D41" w:rsidRPr="004A1D41" w:rsidRDefault="004A1D41" w:rsidP="004A1D41">
      <w:pPr>
        <w:spacing w:after="0" w:line="240" w:lineRule="auto"/>
        <w:ind w:left="1276"/>
        <w:jc w:val="both"/>
        <w:rPr>
          <w:rStyle w:val="Strong"/>
          <w:b w:val="0"/>
        </w:rPr>
      </w:pPr>
    </w:p>
    <w:p w:rsidR="004A1D41" w:rsidRPr="004A1D41" w:rsidRDefault="00744385" w:rsidP="004A1D41">
      <w:pPr>
        <w:spacing w:after="0" w:line="240" w:lineRule="auto"/>
        <w:jc w:val="both"/>
        <w:rPr>
          <w:rStyle w:val="Strong"/>
          <w:b w:val="0"/>
        </w:rPr>
      </w:pPr>
      <w:r>
        <w:rPr>
          <w:rStyle w:val="Strong"/>
          <w:b w:val="0"/>
        </w:rPr>
        <w:t>Сљ</w:t>
      </w:r>
      <w:r w:rsidR="004A1D41" w:rsidRPr="004A1D41">
        <w:rPr>
          <w:rStyle w:val="Strong"/>
          <w:b w:val="0"/>
        </w:rPr>
        <w:t>едећи тренд везано за планирање је нетранспарентност планираних поступака набавке мале вриједности, јер уговорни  органи  немају законску обавезу да их објављују у плановима, али кроз Нацрт закона о измјенама и допунама Закона о јавним набавкама предвиђена је обавеза објаве и поступака набавке мале вриједности у плановима набавки.</w:t>
      </w:r>
    </w:p>
    <w:p w:rsidR="004A1D41" w:rsidRPr="004A1D41" w:rsidRDefault="004A1D41" w:rsidP="004A1D41">
      <w:pPr>
        <w:spacing w:after="0" w:line="240" w:lineRule="auto"/>
        <w:jc w:val="both"/>
        <w:rPr>
          <w:rStyle w:val="Strong"/>
          <w:b w:val="0"/>
        </w:rPr>
      </w:pPr>
    </w:p>
    <w:p w:rsidR="00C30960" w:rsidRDefault="004A1D41" w:rsidP="004A1D41">
      <w:pPr>
        <w:spacing w:after="0" w:line="240" w:lineRule="auto"/>
        <w:jc w:val="both"/>
        <w:rPr>
          <w:rFonts w:cs="Times New Roman"/>
          <w:color w:val="000000"/>
          <w:lang w:val="hr-HR" w:eastAsia="bs-Latn-BA"/>
        </w:rPr>
      </w:pPr>
      <w:r w:rsidRPr="004A1D41">
        <w:rPr>
          <w:rStyle w:val="Strong"/>
          <w:b w:val="0"/>
        </w:rPr>
        <w:t>Надаље, у посматраном извјештајном периоду утврђено је да уговорни органи немају усвојене планове набав</w:t>
      </w:r>
      <w:r w:rsidR="00744385">
        <w:rPr>
          <w:rStyle w:val="Strong"/>
          <w:b w:val="0"/>
          <w:lang w:val="sr-Cyrl-BA"/>
        </w:rPr>
        <w:t>к</w:t>
      </w:r>
      <w:r w:rsidRPr="004A1D41">
        <w:rPr>
          <w:rStyle w:val="Strong"/>
          <w:b w:val="0"/>
        </w:rPr>
        <w:t>и, али због редовних пословних процеса морају да набављају, робе, услуге или радове, и то према привременим плановима, или доношењем посебних одлука о покретању поступака јавне набавке, што представља лошу праксу у јавним набавкама.Како би се унаприједио цјелокупан процес планирања јавних набавки, потребно је</w:t>
      </w:r>
      <w:r w:rsidR="00EE45CF" w:rsidRPr="00335CF5">
        <w:rPr>
          <w:rFonts w:cs="Times New Roman"/>
          <w:color w:val="000000"/>
          <w:lang w:val="hr-HR" w:eastAsia="bs-Latn-BA"/>
        </w:rPr>
        <w:t>:</w:t>
      </w:r>
    </w:p>
    <w:p w:rsidR="0035332F" w:rsidRPr="00335CF5" w:rsidRDefault="0035332F" w:rsidP="00C30960">
      <w:pPr>
        <w:spacing w:after="0" w:line="240" w:lineRule="auto"/>
        <w:jc w:val="both"/>
        <w:rPr>
          <w:rFonts w:cs="Times New Roman"/>
          <w:color w:val="000000"/>
          <w:lang w:val="hr-HR" w:eastAsia="bs-Latn-BA"/>
        </w:rPr>
      </w:pPr>
    </w:p>
    <w:p w:rsidR="004A1D41" w:rsidRPr="004A1D41" w:rsidRDefault="004A1D41" w:rsidP="004A1D41">
      <w:pPr>
        <w:spacing w:after="0" w:line="240" w:lineRule="auto"/>
        <w:ind w:left="1418" w:hanging="709"/>
        <w:jc w:val="both"/>
        <w:rPr>
          <w:rFonts w:cs="Times New Roman"/>
          <w:color w:val="000000"/>
          <w:lang w:val="hr-HR" w:eastAsia="bs-Latn-BA"/>
        </w:rPr>
      </w:pPr>
      <w:r w:rsidRPr="004A1D41">
        <w:rPr>
          <w:rFonts w:cs="Times New Roman"/>
          <w:color w:val="000000"/>
          <w:lang w:val="hr-HR" w:eastAsia="bs-Latn-BA"/>
        </w:rPr>
        <w:t>а)</w:t>
      </w:r>
      <w:r w:rsidRPr="004A1D41">
        <w:rPr>
          <w:rFonts w:cs="Times New Roman"/>
          <w:color w:val="000000"/>
          <w:lang w:val="hr-HR" w:eastAsia="bs-Latn-BA"/>
        </w:rPr>
        <w:tab/>
        <w:t>правовремено усвајати буџете и фина</w:t>
      </w:r>
      <w:r w:rsidR="00744385">
        <w:rPr>
          <w:rFonts w:cs="Times New Roman"/>
          <w:color w:val="000000"/>
          <w:lang w:val="hr-HR" w:eastAsia="bs-Latn-BA"/>
        </w:rPr>
        <w:t xml:space="preserve">нсијске планове (најкасније у </w:t>
      </w:r>
      <w:r w:rsidR="00744385">
        <w:rPr>
          <w:rFonts w:cs="Times New Roman"/>
          <w:color w:val="000000"/>
          <w:lang w:val="sr-Latn-BA" w:eastAsia="bs-Latn-BA"/>
        </w:rPr>
        <w:t>IV</w:t>
      </w:r>
      <w:r w:rsidRPr="004A1D41">
        <w:rPr>
          <w:rFonts w:cs="Times New Roman"/>
          <w:color w:val="000000"/>
          <w:lang w:val="hr-HR" w:eastAsia="bs-Latn-BA"/>
        </w:rPr>
        <w:t xml:space="preserve"> кварталу текуће године за наредну годину),</w:t>
      </w:r>
    </w:p>
    <w:p w:rsidR="004A1D41" w:rsidRPr="004A1D41" w:rsidRDefault="004A1D41" w:rsidP="004A1D41">
      <w:pPr>
        <w:spacing w:after="0" w:line="240" w:lineRule="auto"/>
        <w:ind w:left="709"/>
        <w:jc w:val="both"/>
        <w:rPr>
          <w:rFonts w:cs="Times New Roman"/>
          <w:color w:val="000000"/>
          <w:lang w:val="hr-HR" w:eastAsia="bs-Latn-BA"/>
        </w:rPr>
      </w:pPr>
      <w:r w:rsidRPr="004A1D41">
        <w:rPr>
          <w:rFonts w:cs="Times New Roman"/>
          <w:color w:val="000000"/>
          <w:lang w:val="hr-HR" w:eastAsia="bs-Latn-BA"/>
        </w:rPr>
        <w:t>б)</w:t>
      </w:r>
      <w:r w:rsidRPr="004A1D41">
        <w:rPr>
          <w:rFonts w:cs="Times New Roman"/>
          <w:color w:val="000000"/>
          <w:lang w:val="hr-HR" w:eastAsia="bs-Latn-BA"/>
        </w:rPr>
        <w:tab/>
        <w:t xml:space="preserve">дефинисати </w:t>
      </w:r>
      <w:r w:rsidR="00744385">
        <w:rPr>
          <w:rFonts w:cs="Times New Roman"/>
          <w:color w:val="000000"/>
          <w:lang w:val="hr-HR" w:eastAsia="bs-Latn-BA"/>
        </w:rPr>
        <w:t>Законом о јавним набавкама и подзаконским актима сљ</w:t>
      </w:r>
      <w:r w:rsidRPr="004A1D41">
        <w:rPr>
          <w:rFonts w:cs="Times New Roman"/>
          <w:color w:val="000000"/>
          <w:lang w:val="hr-HR" w:eastAsia="bs-Latn-BA"/>
        </w:rPr>
        <w:t xml:space="preserve">едеће: </w:t>
      </w:r>
    </w:p>
    <w:p w:rsidR="004A1D41" w:rsidRPr="004A1D41" w:rsidRDefault="004A1D41" w:rsidP="004A1D41">
      <w:pPr>
        <w:spacing w:after="0" w:line="240" w:lineRule="auto"/>
        <w:ind w:left="709"/>
        <w:jc w:val="both"/>
        <w:rPr>
          <w:rFonts w:cs="Times New Roman"/>
          <w:color w:val="000000"/>
          <w:lang w:val="hr-HR" w:eastAsia="bs-Latn-BA"/>
        </w:rPr>
      </w:pPr>
      <w:r w:rsidRPr="004A1D41">
        <w:rPr>
          <w:rFonts w:cs="Times New Roman"/>
          <w:color w:val="000000"/>
          <w:lang w:val="hr-HR" w:eastAsia="bs-Latn-BA"/>
        </w:rPr>
        <w:t>-</w:t>
      </w:r>
      <w:r w:rsidRPr="004A1D41">
        <w:rPr>
          <w:rFonts w:cs="Times New Roman"/>
          <w:color w:val="000000"/>
          <w:lang w:val="hr-HR" w:eastAsia="bs-Latn-BA"/>
        </w:rPr>
        <w:tab/>
        <w:t>обавезне елементе које мора садржавати план набавки;</w:t>
      </w:r>
    </w:p>
    <w:p w:rsidR="004A1D41" w:rsidRPr="004A1D41" w:rsidRDefault="004A1D41" w:rsidP="004A1D41">
      <w:pPr>
        <w:spacing w:after="0" w:line="240" w:lineRule="auto"/>
        <w:ind w:left="709"/>
        <w:jc w:val="both"/>
        <w:rPr>
          <w:rFonts w:cs="Times New Roman"/>
          <w:color w:val="000000"/>
          <w:lang w:val="hr-HR" w:eastAsia="bs-Latn-BA"/>
        </w:rPr>
      </w:pPr>
      <w:r w:rsidRPr="004A1D41">
        <w:rPr>
          <w:rFonts w:cs="Times New Roman"/>
          <w:color w:val="000000"/>
          <w:lang w:val="hr-HR" w:eastAsia="bs-Latn-BA"/>
        </w:rPr>
        <w:t>-</w:t>
      </w:r>
      <w:r w:rsidRPr="004A1D41">
        <w:rPr>
          <w:rFonts w:cs="Times New Roman"/>
          <w:color w:val="000000"/>
          <w:lang w:val="hr-HR" w:eastAsia="bs-Latn-BA"/>
        </w:rPr>
        <w:tab/>
        <w:t>обавезна објава поступака мале вриједности у плановима набавки;</w:t>
      </w:r>
    </w:p>
    <w:p w:rsidR="004A1D41" w:rsidRPr="004A1D41" w:rsidRDefault="004A1D41" w:rsidP="004A1D41">
      <w:pPr>
        <w:spacing w:after="0" w:line="240" w:lineRule="auto"/>
        <w:ind w:left="1418" w:hanging="709"/>
        <w:jc w:val="both"/>
        <w:rPr>
          <w:rFonts w:cs="Times New Roman"/>
          <w:color w:val="000000"/>
          <w:lang w:val="hr-HR" w:eastAsia="bs-Latn-BA"/>
        </w:rPr>
      </w:pPr>
      <w:r w:rsidRPr="004A1D41">
        <w:rPr>
          <w:rFonts w:cs="Times New Roman"/>
          <w:color w:val="000000"/>
          <w:lang w:val="hr-HR" w:eastAsia="bs-Latn-BA"/>
        </w:rPr>
        <w:t>-</w:t>
      </w:r>
      <w:r w:rsidRPr="004A1D41">
        <w:rPr>
          <w:rFonts w:cs="Times New Roman"/>
          <w:color w:val="000000"/>
          <w:lang w:val="hr-HR" w:eastAsia="bs-Latn-BA"/>
        </w:rPr>
        <w:tab/>
        <w:t>обавезну објаву планова набавки на Порталу јавних набавки (ова могућност већ постоји али није обавезна);</w:t>
      </w:r>
    </w:p>
    <w:p w:rsidR="004A1D41" w:rsidRPr="004A1D41" w:rsidRDefault="004A1D41" w:rsidP="004A1D41">
      <w:pPr>
        <w:spacing w:after="0" w:line="240" w:lineRule="auto"/>
        <w:ind w:left="1418" w:hanging="709"/>
        <w:jc w:val="both"/>
        <w:rPr>
          <w:rFonts w:cs="Times New Roman"/>
          <w:color w:val="000000"/>
          <w:lang w:val="hr-HR" w:eastAsia="bs-Latn-BA"/>
        </w:rPr>
      </w:pPr>
      <w:r w:rsidRPr="004A1D41">
        <w:rPr>
          <w:rFonts w:cs="Times New Roman"/>
          <w:color w:val="000000"/>
          <w:lang w:val="hr-HR" w:eastAsia="bs-Latn-BA"/>
        </w:rPr>
        <w:t>-</w:t>
      </w:r>
      <w:r w:rsidRPr="004A1D41">
        <w:rPr>
          <w:rFonts w:cs="Times New Roman"/>
          <w:color w:val="000000"/>
          <w:lang w:val="hr-HR" w:eastAsia="bs-Latn-BA"/>
        </w:rPr>
        <w:tab/>
        <w:t>дефинисати начин објаве планова набавки код великих система, који у свом саставу имају зависна друштва ( консолидовани планови набавки);</w:t>
      </w:r>
    </w:p>
    <w:p w:rsidR="004A1D41" w:rsidRPr="004A1D41" w:rsidRDefault="004A1D41" w:rsidP="00744385">
      <w:pPr>
        <w:spacing w:after="0" w:line="240" w:lineRule="auto"/>
        <w:ind w:left="709"/>
        <w:jc w:val="both"/>
        <w:rPr>
          <w:rFonts w:cs="Times New Roman"/>
          <w:color w:val="000000"/>
          <w:lang w:val="hr-HR" w:eastAsia="bs-Latn-BA"/>
        </w:rPr>
      </w:pPr>
      <w:r w:rsidRPr="004A1D41">
        <w:rPr>
          <w:rFonts w:cs="Times New Roman"/>
          <w:color w:val="000000"/>
          <w:lang w:val="hr-HR" w:eastAsia="bs-Latn-BA"/>
        </w:rPr>
        <w:t>-</w:t>
      </w:r>
      <w:r w:rsidRPr="004A1D41">
        <w:rPr>
          <w:rFonts w:cs="Times New Roman"/>
          <w:color w:val="000000"/>
          <w:lang w:val="hr-HR" w:eastAsia="bs-Latn-BA"/>
        </w:rPr>
        <w:tab/>
        <w:t>кроз едукацију обратити посебну пажњу на процес планирања.</w:t>
      </w:r>
    </w:p>
    <w:p w:rsidR="00832E29" w:rsidRDefault="004A1D41" w:rsidP="004A1D41">
      <w:pPr>
        <w:spacing w:after="0" w:line="240" w:lineRule="auto"/>
        <w:jc w:val="both"/>
        <w:rPr>
          <w:rFonts w:cs="Times New Roman"/>
        </w:rPr>
      </w:pPr>
      <w:r w:rsidRPr="004A1D41">
        <w:rPr>
          <w:rFonts w:cs="Times New Roman"/>
          <w:color w:val="000000"/>
          <w:lang w:val="hr-HR" w:eastAsia="bs-Latn-BA"/>
        </w:rPr>
        <w:lastRenderedPageBreak/>
        <w:t>Реализација уговора представља један од показатеља ефикасности и квалитета система јавних набавки. Агенција је извршила праћење основних елемента уговора и измјене уговора према Упуству о објави основних елемената уговора и измјене уговора („Службени гласник БиХ“ број: 56/15). Прво што с</w:t>
      </w:r>
      <w:r w:rsidR="00744385">
        <w:rPr>
          <w:rFonts w:cs="Times New Roman"/>
          <w:color w:val="000000"/>
          <w:lang w:val="sr-Cyrl-BA" w:eastAsia="bs-Latn-BA"/>
        </w:rPr>
        <w:t>е</w:t>
      </w:r>
      <w:r w:rsidRPr="004A1D41">
        <w:rPr>
          <w:rFonts w:cs="Times New Roman"/>
          <w:color w:val="000000"/>
          <w:lang w:val="hr-HR" w:eastAsia="bs-Latn-BA"/>
        </w:rPr>
        <w:t xml:space="preserve"> уочава у праћењу рализације уговора на </w:t>
      </w:r>
      <w:r w:rsidR="00744385">
        <w:rPr>
          <w:rFonts w:cs="Times New Roman"/>
          <w:color w:val="000000"/>
          <w:lang w:val="sr-Cyrl-BA" w:eastAsia="bs-Latn-BA"/>
        </w:rPr>
        <w:t>интернет</w:t>
      </w:r>
      <w:r w:rsidRPr="004A1D41">
        <w:rPr>
          <w:rFonts w:cs="Times New Roman"/>
          <w:color w:val="000000"/>
          <w:lang w:val="hr-HR" w:eastAsia="bs-Latn-BA"/>
        </w:rPr>
        <w:t xml:space="preserve"> страницама уговорних органа је непрегледност и неажурност података, као и тешко проналажње ових података на </w:t>
      </w:r>
      <w:r w:rsidR="00744385">
        <w:rPr>
          <w:rFonts w:cs="Times New Roman"/>
          <w:color w:val="000000"/>
          <w:lang w:val="sr-Cyrl-BA" w:eastAsia="bs-Latn-BA"/>
        </w:rPr>
        <w:t>интернет</w:t>
      </w:r>
      <w:r w:rsidRPr="004A1D41">
        <w:rPr>
          <w:rFonts w:cs="Times New Roman"/>
          <w:color w:val="000000"/>
          <w:lang w:val="hr-HR" w:eastAsia="bs-Latn-BA"/>
        </w:rPr>
        <w:t xml:space="preserve"> страницама уговорних органа. Праћењем података о реализацији уговора на </w:t>
      </w:r>
      <w:r w:rsidR="00744385">
        <w:rPr>
          <w:rFonts w:cs="Times New Roman"/>
          <w:color w:val="000000"/>
          <w:lang w:val="sr-Cyrl-BA" w:eastAsia="bs-Latn-BA"/>
        </w:rPr>
        <w:t>интернет</w:t>
      </w:r>
      <w:r w:rsidRPr="004A1D41">
        <w:rPr>
          <w:rFonts w:cs="Times New Roman"/>
          <w:color w:val="000000"/>
          <w:lang w:val="hr-HR" w:eastAsia="bs-Latn-BA"/>
        </w:rPr>
        <w:t xml:space="preserve"> страницама </w:t>
      </w:r>
      <w:r w:rsidR="00744385">
        <w:rPr>
          <w:rFonts w:cs="Times New Roman"/>
          <w:color w:val="000000"/>
          <w:lang w:val="hr-HR" w:eastAsia="bs-Latn-BA"/>
        </w:rPr>
        <w:t>уговорних органа, уочено је сљ</w:t>
      </w:r>
      <w:r w:rsidRPr="004A1D41">
        <w:rPr>
          <w:rFonts w:cs="Times New Roman"/>
          <w:color w:val="000000"/>
          <w:lang w:val="hr-HR" w:eastAsia="bs-Latn-BA"/>
        </w:rPr>
        <w:t>едеће</w:t>
      </w:r>
      <w:r w:rsidR="009C216D">
        <w:rPr>
          <w:rFonts w:cs="Times New Roman"/>
        </w:rPr>
        <w:t>:</w:t>
      </w:r>
    </w:p>
    <w:p w:rsidR="0035332F" w:rsidRPr="00335CF5" w:rsidRDefault="0035332F" w:rsidP="00832E29">
      <w:pPr>
        <w:spacing w:after="0" w:line="240" w:lineRule="auto"/>
        <w:jc w:val="both"/>
        <w:rPr>
          <w:rFonts w:cs="Times New Roman"/>
          <w:lang w:eastAsia="bs-Latn-BA"/>
        </w:rPr>
      </w:pPr>
    </w:p>
    <w:p w:rsidR="004A1D41" w:rsidRPr="004A1D41" w:rsidRDefault="004A1D41" w:rsidP="004A1D41">
      <w:pPr>
        <w:pStyle w:val="ListParagraph"/>
        <w:spacing w:after="0" w:line="240" w:lineRule="auto"/>
        <w:ind w:left="1418" w:hanging="698"/>
        <w:jc w:val="both"/>
        <w:rPr>
          <w:rFonts w:cs="Times New Roman"/>
          <w:color w:val="000000" w:themeColor="text1"/>
        </w:rPr>
      </w:pPr>
      <w:r w:rsidRPr="004A1D41">
        <w:rPr>
          <w:rFonts w:cs="Times New Roman"/>
          <w:color w:val="000000" w:themeColor="text1"/>
        </w:rPr>
        <w:t>-</w:t>
      </w:r>
      <w:r w:rsidRPr="004A1D41">
        <w:rPr>
          <w:rFonts w:cs="Times New Roman"/>
          <w:color w:val="000000" w:themeColor="text1"/>
        </w:rPr>
        <w:tab/>
        <w:t>Велике разлике између планираног и реализираног, што је показатељ нереалног планирања;</w:t>
      </w:r>
    </w:p>
    <w:p w:rsidR="004A1D41" w:rsidRPr="004A1D41" w:rsidRDefault="004A1D41" w:rsidP="004A1D41">
      <w:pPr>
        <w:pStyle w:val="ListParagraph"/>
        <w:spacing w:after="0" w:line="240" w:lineRule="auto"/>
        <w:ind w:left="1418" w:hanging="709"/>
        <w:jc w:val="both"/>
        <w:rPr>
          <w:rFonts w:cs="Times New Roman"/>
          <w:color w:val="000000" w:themeColor="text1"/>
        </w:rPr>
      </w:pPr>
      <w:r w:rsidRPr="004A1D41">
        <w:rPr>
          <w:rFonts w:cs="Times New Roman"/>
          <w:color w:val="000000" w:themeColor="text1"/>
        </w:rPr>
        <w:t>-</w:t>
      </w:r>
      <w:r w:rsidRPr="004A1D41">
        <w:rPr>
          <w:rFonts w:cs="Times New Roman"/>
          <w:color w:val="000000" w:themeColor="text1"/>
        </w:rPr>
        <w:tab/>
        <w:t>Планирање је још у</w:t>
      </w:r>
      <w:r w:rsidR="00744385">
        <w:rPr>
          <w:rFonts w:cs="Times New Roman"/>
          <w:color w:val="000000" w:themeColor="text1"/>
        </w:rPr>
        <w:t>вијек није на нивоу који би ути</w:t>
      </w:r>
      <w:r w:rsidRPr="004A1D41">
        <w:rPr>
          <w:rFonts w:cs="Times New Roman"/>
          <w:color w:val="000000" w:themeColor="text1"/>
        </w:rPr>
        <w:t>цао на бољу реализацију уговора;</w:t>
      </w:r>
    </w:p>
    <w:p w:rsidR="004A1D41" w:rsidRPr="004A1D41" w:rsidRDefault="004A1D41" w:rsidP="004A1D41">
      <w:pPr>
        <w:pStyle w:val="ListParagraph"/>
        <w:spacing w:after="0" w:line="240" w:lineRule="auto"/>
        <w:jc w:val="both"/>
        <w:rPr>
          <w:rFonts w:cs="Times New Roman"/>
          <w:color w:val="000000" w:themeColor="text1"/>
        </w:rPr>
      </w:pPr>
      <w:r w:rsidRPr="004A1D41">
        <w:rPr>
          <w:rFonts w:cs="Times New Roman"/>
          <w:color w:val="000000" w:themeColor="text1"/>
        </w:rPr>
        <w:t>-</w:t>
      </w:r>
      <w:r w:rsidRPr="004A1D41">
        <w:rPr>
          <w:rFonts w:cs="Times New Roman"/>
          <w:color w:val="000000" w:themeColor="text1"/>
        </w:rPr>
        <w:tab/>
        <w:t>Неажурно вођење података о реализацији уговора;</w:t>
      </w:r>
    </w:p>
    <w:p w:rsidR="00F505DE" w:rsidRDefault="00744385" w:rsidP="004A1D41">
      <w:pPr>
        <w:pStyle w:val="ListParagraph"/>
        <w:spacing w:after="0" w:line="240" w:lineRule="auto"/>
        <w:jc w:val="both"/>
        <w:rPr>
          <w:rFonts w:cs="Times New Roman"/>
          <w:color w:val="000000" w:themeColor="text1"/>
        </w:rPr>
      </w:pPr>
      <w:r>
        <w:rPr>
          <w:rFonts w:cs="Times New Roman"/>
          <w:color w:val="000000" w:themeColor="text1"/>
        </w:rPr>
        <w:t>-</w:t>
      </w:r>
      <w:r>
        <w:rPr>
          <w:rFonts w:cs="Times New Roman"/>
          <w:color w:val="000000" w:themeColor="text1"/>
        </w:rPr>
        <w:tab/>
        <w:t>Нагли пораст броја додј</w:t>
      </w:r>
      <w:r w:rsidR="004A1D41" w:rsidRPr="004A1D41">
        <w:rPr>
          <w:rFonts w:cs="Times New Roman"/>
          <w:color w:val="000000" w:themeColor="text1"/>
        </w:rPr>
        <w:t>ељених уговора у посљедњем кварталу године</w:t>
      </w:r>
      <w:r w:rsidR="009C216D">
        <w:rPr>
          <w:rFonts w:cs="Times New Roman"/>
          <w:color w:val="000000" w:themeColor="text1"/>
        </w:rPr>
        <w:t>.</w:t>
      </w:r>
    </w:p>
    <w:p w:rsidR="009C216D" w:rsidRDefault="009C216D" w:rsidP="009C216D">
      <w:pPr>
        <w:spacing w:after="0" w:line="240" w:lineRule="auto"/>
        <w:jc w:val="both"/>
        <w:rPr>
          <w:rFonts w:cs="Times New Roman"/>
          <w:color w:val="000000" w:themeColor="text1"/>
        </w:rPr>
      </w:pPr>
    </w:p>
    <w:p w:rsidR="004A1D41" w:rsidRDefault="004A1D41" w:rsidP="009C216D">
      <w:pPr>
        <w:spacing w:after="0" w:line="240" w:lineRule="auto"/>
        <w:jc w:val="both"/>
        <w:rPr>
          <w:rFonts w:cs="Times New Roman"/>
          <w:color w:val="000000" w:themeColor="text1"/>
        </w:rPr>
      </w:pPr>
      <w:r w:rsidRPr="004A1D41">
        <w:rPr>
          <w:rFonts w:cs="Times New Roman"/>
          <w:color w:val="000000" w:themeColor="text1"/>
        </w:rPr>
        <w:t>Посматрајући напријед наведено, уочава се проблем објаве планова набавки и реализације уговора на њеб страницама уговорних органа. Иако је Агенција у 2019. години надоградила Портал јавних набавки и омогућила уговорним органима да поред објава на својим њеб страницама (обавеза из члана 17. став (1) Закона), објављују планове набавки и на Порталу јавних набавки, мали број уговорних органа је користио ту могућност. Објава планова набавки на Порталу није обавезна за уговорне органе, али је Нацртом закона о измјенама и допунама Закона о јавним набавкама предвиђено обавезна објава планова набавки и реализација закључених уговора за све уговорне органе</w:t>
      </w:r>
      <w:r w:rsidR="00A76810">
        <w:rPr>
          <w:rFonts w:cs="Times New Roman"/>
          <w:color w:val="000000" w:themeColor="text1"/>
        </w:rPr>
        <w:t xml:space="preserve">. </w:t>
      </w:r>
    </w:p>
    <w:p w:rsidR="004A1D41" w:rsidRDefault="004A1D41" w:rsidP="009C216D">
      <w:pPr>
        <w:spacing w:after="0" w:line="240" w:lineRule="auto"/>
        <w:jc w:val="both"/>
        <w:rPr>
          <w:rFonts w:cs="Times New Roman"/>
          <w:color w:val="000000" w:themeColor="text1"/>
        </w:rPr>
      </w:pPr>
    </w:p>
    <w:p w:rsidR="00470622" w:rsidRPr="00335CF5" w:rsidRDefault="004A1D41" w:rsidP="00CC506F">
      <w:pPr>
        <w:pStyle w:val="ListParagraph"/>
        <w:numPr>
          <w:ilvl w:val="0"/>
          <w:numId w:val="2"/>
        </w:numPr>
        <w:spacing w:after="0" w:line="240" w:lineRule="auto"/>
        <w:jc w:val="both"/>
        <w:rPr>
          <w:b/>
        </w:rPr>
      </w:pPr>
      <w:r>
        <w:rPr>
          <w:b/>
          <w:lang w:val="sr-Cyrl-BA"/>
        </w:rPr>
        <w:t>Праћење извјештаја канцеларија за ревизију у БиХ</w:t>
      </w:r>
    </w:p>
    <w:p w:rsidR="00470622" w:rsidRPr="00335CF5" w:rsidRDefault="00470622" w:rsidP="00470622">
      <w:pPr>
        <w:spacing w:after="0" w:line="240" w:lineRule="auto"/>
        <w:jc w:val="both"/>
        <w:rPr>
          <w:b/>
        </w:rPr>
      </w:pPr>
    </w:p>
    <w:p w:rsidR="004A1D41" w:rsidRDefault="004A1D41" w:rsidP="004A1D41">
      <w:pPr>
        <w:pStyle w:val="ListParagraph"/>
        <w:spacing w:after="0" w:line="240" w:lineRule="auto"/>
        <w:ind w:left="0"/>
        <w:jc w:val="both"/>
      </w:pPr>
      <w:r>
        <w:t xml:space="preserve">Увидом у извјештаје </w:t>
      </w:r>
      <w:r w:rsidR="00744385">
        <w:rPr>
          <w:lang w:val="sr-Cyrl-BA"/>
        </w:rPr>
        <w:t>канцеларија</w:t>
      </w:r>
      <w:r>
        <w:t xml:space="preserve"> за ревизје на свим нивоима власти у БиХ (Уред за ревизију институција БиХ, Уред за ревизију институција у ФБиХ, Главна служба за ревизију јавног сектора РС и Уред за ревизију институција и јавне управе у Брчко Дистрикту) за 2018. годину , у дијелу ревизије јавни</w:t>
      </w:r>
      <w:r w:rsidR="00744385">
        <w:t>х набавки идентификовано је сљ</w:t>
      </w:r>
      <w:r>
        <w:t>едеће:</w:t>
      </w:r>
    </w:p>
    <w:p w:rsidR="004A1D41" w:rsidRDefault="004A1D41" w:rsidP="004A1D41">
      <w:pPr>
        <w:pStyle w:val="ListParagraph"/>
        <w:numPr>
          <w:ilvl w:val="0"/>
          <w:numId w:val="5"/>
        </w:numPr>
        <w:spacing w:after="0" w:line="240" w:lineRule="auto"/>
        <w:jc w:val="both"/>
      </w:pPr>
      <w:r>
        <w:t xml:space="preserve">Израда плана набавки и благовременост планирања; слабости приликом одређивања самог предмета набавке, изостанак испитивања тржишта у фази планирања јавних набавки, непрецизно дефинисање покретања поступка јавне набавке, избор поступка јавне набавке; </w:t>
      </w:r>
    </w:p>
    <w:p w:rsidR="004A1D41" w:rsidRDefault="004A1D41" w:rsidP="004A1D41">
      <w:pPr>
        <w:pStyle w:val="ListParagraph"/>
        <w:numPr>
          <w:ilvl w:val="0"/>
          <w:numId w:val="5"/>
        </w:numPr>
        <w:spacing w:after="0" w:line="240" w:lineRule="auto"/>
        <w:jc w:val="both"/>
      </w:pPr>
      <w:r>
        <w:t xml:space="preserve">Реализација уговора (изостанак праћења реализације уговора, кашњења у реализацији закључених уговора, необјављивање и изостанак ажурирања реализације уговора на </w:t>
      </w:r>
      <w:r w:rsidR="00744385">
        <w:rPr>
          <w:lang w:val="sr-Cyrl-BA"/>
        </w:rPr>
        <w:t>интернет</w:t>
      </w:r>
      <w:r>
        <w:t xml:space="preserve"> страницама уговорних органа, изостанак предузимања мјера у случају кашњења у реализацији уговора, изостанак праћења реализације оквирних споразума, те благовременог покретања поступака набавке за нове оквирне споразуме, испоруке се не прате у погледу квантитета и квалитета, те испоруке нису у складу са захтјевима из уговора;</w:t>
      </w:r>
    </w:p>
    <w:p w:rsidR="004A1D41" w:rsidRDefault="004A1D41" w:rsidP="004A1D41">
      <w:pPr>
        <w:pStyle w:val="ListParagraph"/>
        <w:numPr>
          <w:ilvl w:val="0"/>
          <w:numId w:val="5"/>
        </w:numPr>
        <w:spacing w:after="0" w:line="240" w:lineRule="auto"/>
        <w:jc w:val="both"/>
      </w:pPr>
      <w:r>
        <w:t>Недостаци се највећим дијелом односе на опис предмета набавке у тендерској документацији. Овај недостатак је био присутан и ранијих година, тако да на овом плану нису уочени значајнији помаци. Слабости у припреми тендерске документације, посебно у дијелу техничке спецификације (набавка возила и опреме), ограничавање конкуренције кроз дефинисање техничке и професионалне способности;</w:t>
      </w:r>
    </w:p>
    <w:p w:rsidR="004A1D41" w:rsidRDefault="004A1D41" w:rsidP="004A1D41">
      <w:pPr>
        <w:pStyle w:val="ListParagraph"/>
        <w:numPr>
          <w:ilvl w:val="0"/>
          <w:numId w:val="5"/>
        </w:numPr>
        <w:spacing w:after="0" w:line="240" w:lineRule="auto"/>
        <w:jc w:val="both"/>
      </w:pPr>
      <w:r>
        <w:t xml:space="preserve">Заступљеност стално истих добављача је уочена код набавке возила, информатичке опреме, услуга </w:t>
      </w:r>
      <w:r w:rsidR="00744385">
        <w:rPr>
          <w:lang w:val="sr-Cyrl-BA"/>
        </w:rPr>
        <w:t>штампања</w:t>
      </w:r>
      <w:r>
        <w:t xml:space="preserve"> и паковања гласачких листића, </w:t>
      </w:r>
      <w:r w:rsidR="00744385">
        <w:rPr>
          <w:lang w:val="sr-Cyrl-BA"/>
        </w:rPr>
        <w:t>штампања</w:t>
      </w:r>
      <w:r>
        <w:t xml:space="preserve"> </w:t>
      </w:r>
      <w:r w:rsidR="00744385">
        <w:rPr>
          <w:lang w:val="sr-Cyrl-BA"/>
        </w:rPr>
        <w:t>акцизних</w:t>
      </w:r>
      <w:r>
        <w:t xml:space="preserve"> маркица;</w:t>
      </w:r>
    </w:p>
    <w:p w:rsidR="004A1D41" w:rsidRDefault="004A1D41" w:rsidP="004A1D41">
      <w:pPr>
        <w:pStyle w:val="ListParagraph"/>
        <w:numPr>
          <w:ilvl w:val="0"/>
          <w:numId w:val="5"/>
        </w:numPr>
        <w:spacing w:after="0" w:line="240" w:lineRule="auto"/>
        <w:jc w:val="both"/>
      </w:pPr>
      <w:r>
        <w:t>Цијепање предмета набавке у циљу избјегавања провођења транспарентних поступака јавне набавке, закључивање више директних споразума (до 6.000 КМ) за истоврсни предмет набавке,;</w:t>
      </w:r>
    </w:p>
    <w:p w:rsidR="004A1D41" w:rsidRDefault="004A1D41" w:rsidP="004A1D41">
      <w:pPr>
        <w:pStyle w:val="ListParagraph"/>
        <w:numPr>
          <w:ilvl w:val="0"/>
          <w:numId w:val="5"/>
        </w:numPr>
        <w:spacing w:after="0" w:line="240" w:lineRule="auto"/>
        <w:jc w:val="both"/>
      </w:pPr>
      <w:r>
        <w:lastRenderedPageBreak/>
        <w:t>Провођење преговрачких поступака без објаве обавјештења када нису испуњени услови за примјену (хитност која није дефинисана одр</w:t>
      </w:r>
      <w:r w:rsidR="00744385">
        <w:rPr>
          <w:lang w:val="sr-Cyrl-BA"/>
        </w:rPr>
        <w:t>е</w:t>
      </w:r>
      <w:r>
        <w:t xml:space="preserve">дбама Закона о јавним набавкама), немогућност документовања да је тендерска документација објављена на </w:t>
      </w:r>
      <w:r w:rsidR="00744385">
        <w:rPr>
          <w:lang w:val="sr-Cyrl-BA"/>
        </w:rPr>
        <w:t>интернет</w:t>
      </w:r>
      <w:r>
        <w:t xml:space="preserve"> странци уговорног органа, у случају кашњења у покретању поступка јавне набавке из разлога што је истекао ранији уговор или оквирни споразум, због неблаговремености покретања поступка јавне набавке и жалбеног поступка који је у току;</w:t>
      </w:r>
    </w:p>
    <w:p w:rsidR="00DE50B7" w:rsidRPr="00335CF5" w:rsidRDefault="004A1D41" w:rsidP="004A1D41">
      <w:pPr>
        <w:pStyle w:val="ListParagraph"/>
        <w:numPr>
          <w:ilvl w:val="0"/>
          <w:numId w:val="5"/>
        </w:numPr>
        <w:spacing w:after="0" w:line="240" w:lineRule="auto"/>
        <w:jc w:val="both"/>
      </w:pPr>
      <w:r>
        <w:t>Остали недостаци који су резултат лошег планирања, неблаговремености покретања поступака јавних набавки, слабости тендерске документације, као и недостаци запримљених понуда</w:t>
      </w:r>
      <w:r w:rsidR="003605C3" w:rsidRPr="00335CF5">
        <w:t>.</w:t>
      </w:r>
    </w:p>
    <w:p w:rsidR="003605C3" w:rsidRPr="00335CF5" w:rsidRDefault="003605C3" w:rsidP="003605C3">
      <w:pPr>
        <w:spacing w:after="0" w:line="240" w:lineRule="auto"/>
        <w:jc w:val="both"/>
      </w:pPr>
    </w:p>
    <w:p w:rsidR="003605C3" w:rsidRPr="00335CF5" w:rsidRDefault="004A1D41" w:rsidP="003605C3">
      <w:pPr>
        <w:spacing w:after="0" w:line="240" w:lineRule="auto"/>
        <w:jc w:val="both"/>
      </w:pPr>
      <w:r w:rsidRPr="004A1D41">
        <w:t xml:space="preserve">Из наведених запажања </w:t>
      </w:r>
      <w:r w:rsidR="00744385">
        <w:rPr>
          <w:lang w:val="sr-Cyrl-BA"/>
        </w:rPr>
        <w:t>канцеларија</w:t>
      </w:r>
      <w:r w:rsidRPr="004A1D41">
        <w:t xml:space="preserve"> за ревизије у БиХ уочава се да су идентификоване исте слабости и пропусти као и претходних година, као и да извјештаји ревизија имају исте показатеље као праћења поступака јавних набавки од стране Агенције за јавне набавке</w:t>
      </w:r>
      <w:r w:rsidR="003605C3" w:rsidRPr="00335CF5">
        <w:t xml:space="preserve">.  </w:t>
      </w:r>
    </w:p>
    <w:p w:rsidR="003605C3" w:rsidRPr="00335CF5" w:rsidRDefault="003605C3" w:rsidP="003605C3">
      <w:pPr>
        <w:spacing w:after="0" w:line="240" w:lineRule="auto"/>
        <w:jc w:val="both"/>
      </w:pPr>
    </w:p>
    <w:p w:rsidR="000C4C4F" w:rsidRPr="00335CF5" w:rsidRDefault="004A1D41" w:rsidP="00CC506F">
      <w:pPr>
        <w:pStyle w:val="ListParagraph"/>
        <w:numPr>
          <w:ilvl w:val="0"/>
          <w:numId w:val="2"/>
        </w:numPr>
        <w:spacing w:after="0" w:line="240" w:lineRule="auto"/>
        <w:jc w:val="both"/>
        <w:rPr>
          <w:b/>
        </w:rPr>
      </w:pPr>
      <w:r>
        <w:rPr>
          <w:b/>
          <w:lang w:val="sr-Cyrl-BA"/>
        </w:rPr>
        <w:t>ЗАКЉУЧАК</w:t>
      </w:r>
    </w:p>
    <w:p w:rsidR="00DF5F60" w:rsidRPr="00335CF5" w:rsidRDefault="00DF5F60" w:rsidP="00DF5F60">
      <w:pPr>
        <w:spacing w:after="0" w:line="240" w:lineRule="auto"/>
        <w:jc w:val="both"/>
      </w:pPr>
    </w:p>
    <w:p w:rsidR="004A1D41" w:rsidRDefault="004A1D41" w:rsidP="004A1D41">
      <w:pPr>
        <w:spacing w:after="0" w:line="240" w:lineRule="auto"/>
        <w:jc w:val="both"/>
      </w:pPr>
      <w:r>
        <w:t>Систем јавних набавки у периоду који је обухваћен овим извјештајем показује одређене трендове, посебно са аспекта погрешних поступања.</w:t>
      </w:r>
    </w:p>
    <w:p w:rsidR="004A1D41" w:rsidRDefault="004A1D41" w:rsidP="004A1D41">
      <w:pPr>
        <w:spacing w:after="0" w:line="240" w:lineRule="auto"/>
        <w:jc w:val="both"/>
      </w:pPr>
    </w:p>
    <w:p w:rsidR="004A1D41" w:rsidRDefault="004A1D41" w:rsidP="004A1D41">
      <w:pPr>
        <w:spacing w:after="0" w:line="240" w:lineRule="auto"/>
        <w:jc w:val="both"/>
      </w:pPr>
      <w:r>
        <w:t>Показатељи за преговарачке поступке без об</w:t>
      </w:r>
      <w:r w:rsidR="00744385">
        <w:t>јаве обавјештења указују на сљ</w:t>
      </w:r>
      <w:r>
        <w:t>едеће проблеме:</w:t>
      </w:r>
    </w:p>
    <w:p w:rsidR="004A1D41" w:rsidRDefault="004A1D41" w:rsidP="004A1D41">
      <w:pPr>
        <w:spacing w:after="0" w:line="240" w:lineRule="auto"/>
        <w:ind w:left="1418" w:hanging="425"/>
        <w:jc w:val="both"/>
      </w:pPr>
      <w:r>
        <w:t>-</w:t>
      </w:r>
      <w:r>
        <w:tab/>
        <w:t>Неправовремена расположивост финансијских средстава (кашњење у усвајању буџета или финансијских планова и неправовремено покретање поступака јавних набавки;</w:t>
      </w:r>
    </w:p>
    <w:p w:rsidR="004A1D41" w:rsidRDefault="004A1D41" w:rsidP="004A1D41">
      <w:pPr>
        <w:spacing w:after="0" w:line="240" w:lineRule="auto"/>
        <w:ind w:left="993"/>
        <w:jc w:val="both"/>
      </w:pPr>
      <w:r>
        <w:t>-</w:t>
      </w:r>
      <w:r>
        <w:tab/>
        <w:t>Примјена ове врсте поступка у случајевима када је жалбени поступак у току;</w:t>
      </w:r>
    </w:p>
    <w:p w:rsidR="004A1D41" w:rsidRDefault="004A1D41" w:rsidP="00744385">
      <w:pPr>
        <w:spacing w:after="0" w:line="240" w:lineRule="auto"/>
        <w:ind w:left="1418" w:hanging="425"/>
        <w:jc w:val="both"/>
      </w:pPr>
      <w:r>
        <w:t>-</w:t>
      </w:r>
      <w:r>
        <w:tab/>
        <w:t xml:space="preserve">Нису испуњени кумулативно постављени услови за примјену ове врсте поступка </w:t>
      </w:r>
      <w:r w:rsidR="00744385">
        <w:rPr>
          <w:lang w:val="sr-Cyrl-BA"/>
        </w:rPr>
        <w:t xml:space="preserve">  </w:t>
      </w:r>
      <w:r>
        <w:t>јавне набавке;</w:t>
      </w:r>
    </w:p>
    <w:p w:rsidR="004A1D41" w:rsidRDefault="004A1D41" w:rsidP="004A1D41">
      <w:pPr>
        <w:spacing w:after="0" w:line="240" w:lineRule="auto"/>
        <w:jc w:val="both"/>
      </w:pPr>
    </w:p>
    <w:p w:rsidR="004A1D41" w:rsidRDefault="004A1D41" w:rsidP="004A1D41">
      <w:pPr>
        <w:spacing w:after="0" w:line="240" w:lineRule="auto"/>
        <w:jc w:val="both"/>
      </w:pPr>
      <w:r>
        <w:t>Стога ће програмско праћење преговарачких поступака без објаве обавјештења, у сарадњи са невладим сектором, приказати реално стање преговарачког поступка без објаве обавјештења у систему јавних набавки.</w:t>
      </w:r>
    </w:p>
    <w:p w:rsidR="004A1D41" w:rsidRDefault="004A1D41" w:rsidP="004A1D41">
      <w:pPr>
        <w:spacing w:after="0" w:line="240" w:lineRule="auto"/>
        <w:jc w:val="both"/>
      </w:pPr>
    </w:p>
    <w:p w:rsidR="004A1D41" w:rsidRDefault="004A1D41" w:rsidP="004A1D41">
      <w:pPr>
        <w:spacing w:after="0" w:line="240" w:lineRule="auto"/>
        <w:jc w:val="both"/>
      </w:pPr>
      <w:r>
        <w:t xml:space="preserve">Планирање је проблем који је присутан већ годинама. Наиме, касно доношење буџета и/или финансијских планова </w:t>
      </w:r>
      <w:r w:rsidR="00744385">
        <w:rPr>
          <w:lang w:val="sr-Cyrl-BA"/>
        </w:rPr>
        <w:t>условљава</w:t>
      </w:r>
      <w:r>
        <w:t xml:space="preserve"> и кашњење у провођењу поступка јавне набавке, а кашњење може у</w:t>
      </w:r>
      <w:r w:rsidR="00744385">
        <w:t>зроковати проблеме у обављању дје</w:t>
      </w:r>
      <w:r>
        <w:t>латности уговорних</w:t>
      </w:r>
      <w:r w:rsidR="00744385">
        <w:t xml:space="preserve"> органа и за резултат имамо сљ</w:t>
      </w:r>
      <w:r>
        <w:t xml:space="preserve">едећа поступања: провођење преговарачких поступака без објаве обавјештења, цијепање набавки и сл. </w:t>
      </w:r>
    </w:p>
    <w:p w:rsidR="00744385" w:rsidRDefault="00744385" w:rsidP="004A1D41">
      <w:pPr>
        <w:spacing w:after="0" w:line="240" w:lineRule="auto"/>
        <w:jc w:val="both"/>
      </w:pPr>
    </w:p>
    <w:p w:rsidR="004A1D41" w:rsidRDefault="004A1D41" w:rsidP="004A1D41">
      <w:pPr>
        <w:spacing w:after="0" w:line="240" w:lineRule="auto"/>
        <w:jc w:val="both"/>
      </w:pPr>
      <w:r>
        <w:t xml:space="preserve">Показатељи праћења поступака јавних набавки указују на релативно мали број праћења поступака јавних набавки из разлога недовољне кадровске попуњености Агенције за јавне набавке. Наиме, кроз овај извјештај приказани су показатељи праћења која су обрађена од стране Агенције. Да би Агенција приступила обради предмета праћења, потребно је вршити претраживања на Порталу јавних набавки, и то свих врста обавјештења. Ако се има у виду чињеница да је у 2019. години објављено 47145 обавјештања, те да је обухват од 347 обрађених предмета праћења из различитих извора праћења мали, неопходан је и већи број </w:t>
      </w:r>
      <w:r w:rsidR="00744385">
        <w:rPr>
          <w:lang w:val="sr-Cyrl-BA"/>
        </w:rPr>
        <w:t>запослених</w:t>
      </w:r>
      <w:r>
        <w:t xml:space="preserve">. Јер, обрађени предмети праћења су потенцијални предмети за прекршајни поступак. Праћење система јавних набавки, у складу и са Директивама ЕУ 24/2014 и 25/2014 указују на потребу континуираног праћења система, а у циљу уочавања девијација у истом и отклањања уочених девијација. </w:t>
      </w:r>
    </w:p>
    <w:p w:rsidR="004A1D41" w:rsidRDefault="004A1D41" w:rsidP="004A1D41">
      <w:pPr>
        <w:spacing w:after="0" w:line="240" w:lineRule="auto"/>
        <w:jc w:val="both"/>
      </w:pPr>
    </w:p>
    <w:p w:rsidR="00CA4116" w:rsidRPr="00335CF5" w:rsidRDefault="00744385" w:rsidP="004A1D41">
      <w:pPr>
        <w:spacing w:after="0" w:line="240" w:lineRule="auto"/>
        <w:jc w:val="both"/>
      </w:pPr>
      <w:r>
        <w:t>Полазећи од напр</w:t>
      </w:r>
      <w:r w:rsidR="004A1D41">
        <w:t xml:space="preserve">ед наведеног, предлаже се </w:t>
      </w:r>
      <w:r>
        <w:rPr>
          <w:lang w:val="sr-Cyrl-BA"/>
        </w:rPr>
        <w:t>Савјету</w:t>
      </w:r>
      <w:r w:rsidR="004A1D41">
        <w:t xml:space="preserve"> министара Босне и Херцеговине, да након разматрања Извјештаја о праћењу поступака јавних набавки за 2019. годину, усвоји Извјештај о праћењу поступака јавних набавки за 2019. годину и задужи Агенцију за јавне набавке да у 2020. </w:t>
      </w:r>
      <w:r>
        <w:lastRenderedPageBreak/>
        <w:t xml:space="preserve">години </w:t>
      </w:r>
      <w:r w:rsidR="004A1D41">
        <w:t xml:space="preserve">проводи програмско праћење преговарачких поступака без објаве обавјештења. Агенција за јавне набавке ће Извјештај са Анексом доставити Влади Федерације Босне и Херцеговине, Влади Републике Српске и Влади Брчко Дистрикта, и објавити извјештај на својој </w:t>
      </w:r>
      <w:r w:rsidR="009B36C9">
        <w:rPr>
          <w:lang w:val="sr-Cyrl-BA"/>
        </w:rPr>
        <w:t>интернет</w:t>
      </w:r>
      <w:r w:rsidR="004A1D41">
        <w:t xml:space="preserve"> страници.</w:t>
      </w:r>
      <w:r w:rsidR="003B60ED" w:rsidRPr="00335CF5">
        <w:t xml:space="preserve"> </w:t>
      </w:r>
    </w:p>
    <w:sectPr w:rsidR="00CA4116" w:rsidRPr="00335CF5" w:rsidSect="00DA68CF">
      <w:footerReference w:type="default" r:id="rId16"/>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993" w:rsidRDefault="00597993" w:rsidP="00A52B71">
      <w:pPr>
        <w:spacing w:after="0" w:line="240" w:lineRule="auto"/>
      </w:pPr>
      <w:r>
        <w:separator/>
      </w:r>
    </w:p>
  </w:endnote>
  <w:endnote w:type="continuationSeparator" w:id="0">
    <w:p w:rsidR="00597993" w:rsidRDefault="00597993" w:rsidP="00A52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0268081"/>
      <w:docPartObj>
        <w:docPartGallery w:val="Page Numbers (Bottom of Page)"/>
        <w:docPartUnique/>
      </w:docPartObj>
    </w:sdtPr>
    <w:sdtEndPr>
      <w:rPr>
        <w:noProof/>
      </w:rPr>
    </w:sdtEndPr>
    <w:sdtContent>
      <w:p w:rsidR="00DA68CF" w:rsidRDefault="00DA68CF">
        <w:pPr>
          <w:pStyle w:val="Footer"/>
          <w:jc w:val="right"/>
        </w:pPr>
        <w:r>
          <w:fldChar w:fldCharType="begin"/>
        </w:r>
        <w:r>
          <w:instrText xml:space="preserve"> PAGE   \* MERGEFORMAT </w:instrText>
        </w:r>
        <w:r>
          <w:fldChar w:fldCharType="separate"/>
        </w:r>
        <w:r w:rsidR="006343DD">
          <w:rPr>
            <w:noProof/>
          </w:rPr>
          <w:t>2</w:t>
        </w:r>
        <w:r>
          <w:rPr>
            <w:noProof/>
          </w:rPr>
          <w:fldChar w:fldCharType="end"/>
        </w:r>
      </w:p>
    </w:sdtContent>
  </w:sdt>
  <w:p w:rsidR="00A52B71" w:rsidRDefault="00A52B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993" w:rsidRDefault="00597993" w:rsidP="00A52B71">
      <w:pPr>
        <w:spacing w:after="0" w:line="240" w:lineRule="auto"/>
      </w:pPr>
      <w:r>
        <w:separator/>
      </w:r>
    </w:p>
  </w:footnote>
  <w:footnote w:type="continuationSeparator" w:id="0">
    <w:p w:rsidR="00597993" w:rsidRDefault="00597993" w:rsidP="00A52B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16707"/>
    <w:multiLevelType w:val="hybridMultilevel"/>
    <w:tmpl w:val="4E30E4A2"/>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
    <w:nsid w:val="0BE800E1"/>
    <w:multiLevelType w:val="hybridMultilevel"/>
    <w:tmpl w:val="5AC84144"/>
    <w:lvl w:ilvl="0" w:tplc="5F58496E">
      <w:start w:val="1"/>
      <w:numFmt w:val="decimal"/>
      <w:lvlText w:val="%1."/>
      <w:lvlJc w:val="left"/>
      <w:pPr>
        <w:ind w:left="405" w:hanging="360"/>
      </w:pPr>
      <w:rPr>
        <w:rFonts w:hint="default"/>
      </w:rPr>
    </w:lvl>
    <w:lvl w:ilvl="1" w:tplc="141A0019" w:tentative="1">
      <w:start w:val="1"/>
      <w:numFmt w:val="lowerLetter"/>
      <w:lvlText w:val="%2."/>
      <w:lvlJc w:val="left"/>
      <w:pPr>
        <w:ind w:left="1125" w:hanging="360"/>
      </w:pPr>
    </w:lvl>
    <w:lvl w:ilvl="2" w:tplc="141A001B" w:tentative="1">
      <w:start w:val="1"/>
      <w:numFmt w:val="lowerRoman"/>
      <w:lvlText w:val="%3."/>
      <w:lvlJc w:val="right"/>
      <w:pPr>
        <w:ind w:left="1845" w:hanging="180"/>
      </w:pPr>
    </w:lvl>
    <w:lvl w:ilvl="3" w:tplc="141A000F" w:tentative="1">
      <w:start w:val="1"/>
      <w:numFmt w:val="decimal"/>
      <w:lvlText w:val="%4."/>
      <w:lvlJc w:val="left"/>
      <w:pPr>
        <w:ind w:left="2565" w:hanging="360"/>
      </w:pPr>
    </w:lvl>
    <w:lvl w:ilvl="4" w:tplc="141A0019" w:tentative="1">
      <w:start w:val="1"/>
      <w:numFmt w:val="lowerLetter"/>
      <w:lvlText w:val="%5."/>
      <w:lvlJc w:val="left"/>
      <w:pPr>
        <w:ind w:left="3285" w:hanging="360"/>
      </w:pPr>
    </w:lvl>
    <w:lvl w:ilvl="5" w:tplc="141A001B" w:tentative="1">
      <w:start w:val="1"/>
      <w:numFmt w:val="lowerRoman"/>
      <w:lvlText w:val="%6."/>
      <w:lvlJc w:val="right"/>
      <w:pPr>
        <w:ind w:left="4005" w:hanging="180"/>
      </w:pPr>
    </w:lvl>
    <w:lvl w:ilvl="6" w:tplc="141A000F" w:tentative="1">
      <w:start w:val="1"/>
      <w:numFmt w:val="decimal"/>
      <w:lvlText w:val="%7."/>
      <w:lvlJc w:val="left"/>
      <w:pPr>
        <w:ind w:left="4725" w:hanging="360"/>
      </w:pPr>
    </w:lvl>
    <w:lvl w:ilvl="7" w:tplc="141A0019" w:tentative="1">
      <w:start w:val="1"/>
      <w:numFmt w:val="lowerLetter"/>
      <w:lvlText w:val="%8."/>
      <w:lvlJc w:val="left"/>
      <w:pPr>
        <w:ind w:left="5445" w:hanging="360"/>
      </w:pPr>
    </w:lvl>
    <w:lvl w:ilvl="8" w:tplc="141A001B" w:tentative="1">
      <w:start w:val="1"/>
      <w:numFmt w:val="lowerRoman"/>
      <w:lvlText w:val="%9."/>
      <w:lvlJc w:val="right"/>
      <w:pPr>
        <w:ind w:left="6165" w:hanging="180"/>
      </w:pPr>
    </w:lvl>
  </w:abstractNum>
  <w:abstractNum w:abstractNumId="2">
    <w:nsid w:val="1BF007AA"/>
    <w:multiLevelType w:val="hybridMultilevel"/>
    <w:tmpl w:val="E9200178"/>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nsid w:val="1DA506B8"/>
    <w:multiLevelType w:val="hybridMultilevel"/>
    <w:tmpl w:val="3D6CD2A2"/>
    <w:lvl w:ilvl="0" w:tplc="3E7C93F8">
      <w:numFmt w:val="bullet"/>
      <w:lvlText w:val="-"/>
      <w:lvlJc w:val="left"/>
      <w:pPr>
        <w:ind w:left="720" w:hanging="360"/>
      </w:pPr>
      <w:rPr>
        <w:rFonts w:ascii="Calibri" w:eastAsiaTheme="minorHAnsi" w:hAnsi="Calibri"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
    <w:nsid w:val="33C54274"/>
    <w:multiLevelType w:val="hybridMultilevel"/>
    <w:tmpl w:val="D2B40134"/>
    <w:lvl w:ilvl="0" w:tplc="9C1669D0">
      <w:start w:val="1"/>
      <w:numFmt w:val="lowerLetter"/>
      <w:lvlText w:val="%1)"/>
      <w:lvlJc w:val="left"/>
      <w:pPr>
        <w:ind w:left="1080" w:hanging="360"/>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5">
    <w:nsid w:val="39AB2008"/>
    <w:multiLevelType w:val="hybridMultilevel"/>
    <w:tmpl w:val="9F7A807E"/>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
    <w:nsid w:val="3AB15484"/>
    <w:multiLevelType w:val="hybridMultilevel"/>
    <w:tmpl w:val="B2F27666"/>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7">
    <w:nsid w:val="3ED66AE0"/>
    <w:multiLevelType w:val="hybridMultilevel"/>
    <w:tmpl w:val="D8360860"/>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8">
    <w:nsid w:val="44CC13AD"/>
    <w:multiLevelType w:val="hybridMultilevel"/>
    <w:tmpl w:val="1F266562"/>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9">
    <w:nsid w:val="4E055FA4"/>
    <w:multiLevelType w:val="hybridMultilevel"/>
    <w:tmpl w:val="AA340768"/>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
    <w:nsid w:val="517246BD"/>
    <w:multiLevelType w:val="hybridMultilevel"/>
    <w:tmpl w:val="4F167906"/>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1">
    <w:nsid w:val="5822496A"/>
    <w:multiLevelType w:val="hybridMultilevel"/>
    <w:tmpl w:val="EEA6020E"/>
    <w:lvl w:ilvl="0" w:tplc="4FCE02C8">
      <w:start w:val="1"/>
      <w:numFmt w:val="decimal"/>
      <w:lvlText w:val="%1."/>
      <w:lvlJc w:val="left"/>
      <w:pPr>
        <w:ind w:left="420" w:hanging="360"/>
      </w:pPr>
      <w:rPr>
        <w:rFonts w:hint="default"/>
      </w:rPr>
    </w:lvl>
    <w:lvl w:ilvl="1" w:tplc="141A0019" w:tentative="1">
      <w:start w:val="1"/>
      <w:numFmt w:val="lowerLetter"/>
      <w:lvlText w:val="%2."/>
      <w:lvlJc w:val="left"/>
      <w:pPr>
        <w:ind w:left="1140" w:hanging="360"/>
      </w:pPr>
    </w:lvl>
    <w:lvl w:ilvl="2" w:tplc="141A001B" w:tentative="1">
      <w:start w:val="1"/>
      <w:numFmt w:val="lowerRoman"/>
      <w:lvlText w:val="%3."/>
      <w:lvlJc w:val="right"/>
      <w:pPr>
        <w:ind w:left="1860" w:hanging="180"/>
      </w:pPr>
    </w:lvl>
    <w:lvl w:ilvl="3" w:tplc="141A000F" w:tentative="1">
      <w:start w:val="1"/>
      <w:numFmt w:val="decimal"/>
      <w:lvlText w:val="%4."/>
      <w:lvlJc w:val="left"/>
      <w:pPr>
        <w:ind w:left="2580" w:hanging="360"/>
      </w:pPr>
    </w:lvl>
    <w:lvl w:ilvl="4" w:tplc="141A0019" w:tentative="1">
      <w:start w:val="1"/>
      <w:numFmt w:val="lowerLetter"/>
      <w:lvlText w:val="%5."/>
      <w:lvlJc w:val="left"/>
      <w:pPr>
        <w:ind w:left="3300" w:hanging="360"/>
      </w:pPr>
    </w:lvl>
    <w:lvl w:ilvl="5" w:tplc="141A001B" w:tentative="1">
      <w:start w:val="1"/>
      <w:numFmt w:val="lowerRoman"/>
      <w:lvlText w:val="%6."/>
      <w:lvlJc w:val="right"/>
      <w:pPr>
        <w:ind w:left="4020" w:hanging="180"/>
      </w:pPr>
    </w:lvl>
    <w:lvl w:ilvl="6" w:tplc="141A000F" w:tentative="1">
      <w:start w:val="1"/>
      <w:numFmt w:val="decimal"/>
      <w:lvlText w:val="%7."/>
      <w:lvlJc w:val="left"/>
      <w:pPr>
        <w:ind w:left="4740" w:hanging="360"/>
      </w:pPr>
    </w:lvl>
    <w:lvl w:ilvl="7" w:tplc="141A0019" w:tentative="1">
      <w:start w:val="1"/>
      <w:numFmt w:val="lowerLetter"/>
      <w:lvlText w:val="%8."/>
      <w:lvlJc w:val="left"/>
      <w:pPr>
        <w:ind w:left="5460" w:hanging="360"/>
      </w:pPr>
    </w:lvl>
    <w:lvl w:ilvl="8" w:tplc="141A001B" w:tentative="1">
      <w:start w:val="1"/>
      <w:numFmt w:val="lowerRoman"/>
      <w:lvlText w:val="%9."/>
      <w:lvlJc w:val="right"/>
      <w:pPr>
        <w:ind w:left="6180" w:hanging="180"/>
      </w:pPr>
    </w:lvl>
  </w:abstractNum>
  <w:abstractNum w:abstractNumId="12">
    <w:nsid w:val="58BA1D08"/>
    <w:multiLevelType w:val="hybridMultilevel"/>
    <w:tmpl w:val="0F9AFF9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3">
    <w:nsid w:val="65566F96"/>
    <w:multiLevelType w:val="hybridMultilevel"/>
    <w:tmpl w:val="2828D9B4"/>
    <w:lvl w:ilvl="0" w:tplc="8DBCF922">
      <w:start w:val="1"/>
      <w:numFmt w:val="decimal"/>
      <w:lvlText w:val="%1."/>
      <w:lvlJc w:val="left"/>
      <w:pPr>
        <w:ind w:left="644" w:hanging="360"/>
      </w:pPr>
      <w:rPr>
        <w:rFonts w:hint="default"/>
        <w:b w:val="0"/>
        <w:color w:val="555555"/>
      </w:rPr>
    </w:lvl>
    <w:lvl w:ilvl="1" w:tplc="141A0019" w:tentative="1">
      <w:start w:val="1"/>
      <w:numFmt w:val="lowerLetter"/>
      <w:lvlText w:val="%2."/>
      <w:lvlJc w:val="left"/>
      <w:pPr>
        <w:ind w:left="1364" w:hanging="360"/>
      </w:pPr>
    </w:lvl>
    <w:lvl w:ilvl="2" w:tplc="141A001B" w:tentative="1">
      <w:start w:val="1"/>
      <w:numFmt w:val="lowerRoman"/>
      <w:lvlText w:val="%3."/>
      <w:lvlJc w:val="right"/>
      <w:pPr>
        <w:ind w:left="2084" w:hanging="180"/>
      </w:pPr>
    </w:lvl>
    <w:lvl w:ilvl="3" w:tplc="141A000F" w:tentative="1">
      <w:start w:val="1"/>
      <w:numFmt w:val="decimal"/>
      <w:lvlText w:val="%4."/>
      <w:lvlJc w:val="left"/>
      <w:pPr>
        <w:ind w:left="2804" w:hanging="360"/>
      </w:pPr>
    </w:lvl>
    <w:lvl w:ilvl="4" w:tplc="141A0019" w:tentative="1">
      <w:start w:val="1"/>
      <w:numFmt w:val="lowerLetter"/>
      <w:lvlText w:val="%5."/>
      <w:lvlJc w:val="left"/>
      <w:pPr>
        <w:ind w:left="3524" w:hanging="360"/>
      </w:pPr>
    </w:lvl>
    <w:lvl w:ilvl="5" w:tplc="141A001B" w:tentative="1">
      <w:start w:val="1"/>
      <w:numFmt w:val="lowerRoman"/>
      <w:lvlText w:val="%6."/>
      <w:lvlJc w:val="right"/>
      <w:pPr>
        <w:ind w:left="4244" w:hanging="180"/>
      </w:pPr>
    </w:lvl>
    <w:lvl w:ilvl="6" w:tplc="141A000F" w:tentative="1">
      <w:start w:val="1"/>
      <w:numFmt w:val="decimal"/>
      <w:lvlText w:val="%7."/>
      <w:lvlJc w:val="left"/>
      <w:pPr>
        <w:ind w:left="4964" w:hanging="360"/>
      </w:pPr>
    </w:lvl>
    <w:lvl w:ilvl="7" w:tplc="141A0019" w:tentative="1">
      <w:start w:val="1"/>
      <w:numFmt w:val="lowerLetter"/>
      <w:lvlText w:val="%8."/>
      <w:lvlJc w:val="left"/>
      <w:pPr>
        <w:ind w:left="5684" w:hanging="360"/>
      </w:pPr>
    </w:lvl>
    <w:lvl w:ilvl="8" w:tplc="141A001B" w:tentative="1">
      <w:start w:val="1"/>
      <w:numFmt w:val="lowerRoman"/>
      <w:lvlText w:val="%9."/>
      <w:lvlJc w:val="right"/>
      <w:pPr>
        <w:ind w:left="6404" w:hanging="180"/>
      </w:pPr>
    </w:lvl>
  </w:abstractNum>
  <w:abstractNum w:abstractNumId="14">
    <w:nsid w:val="712730D9"/>
    <w:multiLevelType w:val="hybridMultilevel"/>
    <w:tmpl w:val="F6F8153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5">
    <w:nsid w:val="716328E3"/>
    <w:multiLevelType w:val="hybridMultilevel"/>
    <w:tmpl w:val="A014AAC0"/>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6">
    <w:nsid w:val="738A468E"/>
    <w:multiLevelType w:val="hybridMultilevel"/>
    <w:tmpl w:val="462690A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7">
    <w:nsid w:val="7CA4713B"/>
    <w:multiLevelType w:val="hybridMultilevel"/>
    <w:tmpl w:val="B6488304"/>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num w:numId="1">
    <w:abstractNumId w:val="8"/>
  </w:num>
  <w:num w:numId="2">
    <w:abstractNumId w:val="14"/>
  </w:num>
  <w:num w:numId="3">
    <w:abstractNumId w:val="12"/>
  </w:num>
  <w:num w:numId="4">
    <w:abstractNumId w:val="9"/>
  </w:num>
  <w:num w:numId="5">
    <w:abstractNumId w:val="3"/>
  </w:num>
  <w:num w:numId="6">
    <w:abstractNumId w:val="13"/>
  </w:num>
  <w:num w:numId="7">
    <w:abstractNumId w:val="0"/>
  </w:num>
  <w:num w:numId="8">
    <w:abstractNumId w:val="2"/>
  </w:num>
  <w:num w:numId="9">
    <w:abstractNumId w:val="5"/>
  </w:num>
  <w:num w:numId="10">
    <w:abstractNumId w:val="6"/>
  </w:num>
  <w:num w:numId="11">
    <w:abstractNumId w:val="4"/>
  </w:num>
  <w:num w:numId="12">
    <w:abstractNumId w:val="16"/>
  </w:num>
  <w:num w:numId="13">
    <w:abstractNumId w:val="11"/>
  </w:num>
  <w:num w:numId="14">
    <w:abstractNumId w:val="1"/>
  </w:num>
  <w:num w:numId="15">
    <w:abstractNumId w:val="15"/>
  </w:num>
  <w:num w:numId="16">
    <w:abstractNumId w:val="7"/>
  </w:num>
  <w:num w:numId="17">
    <w:abstractNumId w:val="1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CE0"/>
    <w:rsid w:val="0000600E"/>
    <w:rsid w:val="00036D78"/>
    <w:rsid w:val="000500B7"/>
    <w:rsid w:val="000511D4"/>
    <w:rsid w:val="00052C42"/>
    <w:rsid w:val="0005520C"/>
    <w:rsid w:val="00057B20"/>
    <w:rsid w:val="000601A7"/>
    <w:rsid w:val="00072D36"/>
    <w:rsid w:val="0007675D"/>
    <w:rsid w:val="00086AF4"/>
    <w:rsid w:val="00090ABB"/>
    <w:rsid w:val="000B56AA"/>
    <w:rsid w:val="000C3062"/>
    <w:rsid w:val="000C4C4F"/>
    <w:rsid w:val="000C5C7D"/>
    <w:rsid w:val="000E2900"/>
    <w:rsid w:val="000E2FE4"/>
    <w:rsid w:val="000F45C6"/>
    <w:rsid w:val="0010036E"/>
    <w:rsid w:val="00116B41"/>
    <w:rsid w:val="00116B66"/>
    <w:rsid w:val="00125280"/>
    <w:rsid w:val="00131204"/>
    <w:rsid w:val="00133EE1"/>
    <w:rsid w:val="001428FD"/>
    <w:rsid w:val="001534AC"/>
    <w:rsid w:val="0015370E"/>
    <w:rsid w:val="00161173"/>
    <w:rsid w:val="001626C0"/>
    <w:rsid w:val="00164287"/>
    <w:rsid w:val="00166FDE"/>
    <w:rsid w:val="00185F4B"/>
    <w:rsid w:val="001A1027"/>
    <w:rsid w:val="001A4588"/>
    <w:rsid w:val="001C1770"/>
    <w:rsid w:val="001C1A1D"/>
    <w:rsid w:val="001C36F9"/>
    <w:rsid w:val="001D4397"/>
    <w:rsid w:val="001D4ED4"/>
    <w:rsid w:val="001E17EA"/>
    <w:rsid w:val="001E513C"/>
    <w:rsid w:val="00205F75"/>
    <w:rsid w:val="00207EA0"/>
    <w:rsid w:val="002205E1"/>
    <w:rsid w:val="00252121"/>
    <w:rsid w:val="00255B42"/>
    <w:rsid w:val="0029048F"/>
    <w:rsid w:val="00290DBE"/>
    <w:rsid w:val="002B068C"/>
    <w:rsid w:val="002B3FA8"/>
    <w:rsid w:val="002B5F36"/>
    <w:rsid w:val="002C4251"/>
    <w:rsid w:val="002D1A94"/>
    <w:rsid w:val="002E190A"/>
    <w:rsid w:val="002E3BF7"/>
    <w:rsid w:val="00301139"/>
    <w:rsid w:val="00304578"/>
    <w:rsid w:val="00306939"/>
    <w:rsid w:val="00311ACD"/>
    <w:rsid w:val="00317F79"/>
    <w:rsid w:val="00335430"/>
    <w:rsid w:val="00335CF5"/>
    <w:rsid w:val="00342A71"/>
    <w:rsid w:val="0035194A"/>
    <w:rsid w:val="0035332F"/>
    <w:rsid w:val="0035519F"/>
    <w:rsid w:val="00357709"/>
    <w:rsid w:val="003605C3"/>
    <w:rsid w:val="00373E7F"/>
    <w:rsid w:val="00375DE3"/>
    <w:rsid w:val="00382E95"/>
    <w:rsid w:val="003861E2"/>
    <w:rsid w:val="003A6986"/>
    <w:rsid w:val="003B12CF"/>
    <w:rsid w:val="003B60ED"/>
    <w:rsid w:val="003B7E23"/>
    <w:rsid w:val="003E4674"/>
    <w:rsid w:val="003F7609"/>
    <w:rsid w:val="00422B25"/>
    <w:rsid w:val="00435926"/>
    <w:rsid w:val="00457964"/>
    <w:rsid w:val="00461ECC"/>
    <w:rsid w:val="004641A7"/>
    <w:rsid w:val="00470622"/>
    <w:rsid w:val="004714C5"/>
    <w:rsid w:val="004805B2"/>
    <w:rsid w:val="00483C60"/>
    <w:rsid w:val="004852C8"/>
    <w:rsid w:val="0048738D"/>
    <w:rsid w:val="004914AC"/>
    <w:rsid w:val="004A1D41"/>
    <w:rsid w:val="004C2CED"/>
    <w:rsid w:val="004D31A0"/>
    <w:rsid w:val="004E2542"/>
    <w:rsid w:val="004E452C"/>
    <w:rsid w:val="004E5115"/>
    <w:rsid w:val="005065B2"/>
    <w:rsid w:val="00515B07"/>
    <w:rsid w:val="00564D0F"/>
    <w:rsid w:val="0057394A"/>
    <w:rsid w:val="00581BFB"/>
    <w:rsid w:val="00590430"/>
    <w:rsid w:val="00597993"/>
    <w:rsid w:val="00597C23"/>
    <w:rsid w:val="005A465A"/>
    <w:rsid w:val="005B1758"/>
    <w:rsid w:val="005B33C5"/>
    <w:rsid w:val="005B356E"/>
    <w:rsid w:val="005C43D8"/>
    <w:rsid w:val="005C545B"/>
    <w:rsid w:val="005C6212"/>
    <w:rsid w:val="005E5CB5"/>
    <w:rsid w:val="005F280F"/>
    <w:rsid w:val="00610A69"/>
    <w:rsid w:val="0062116A"/>
    <w:rsid w:val="00622D91"/>
    <w:rsid w:val="0062705A"/>
    <w:rsid w:val="00631EF7"/>
    <w:rsid w:val="006343DD"/>
    <w:rsid w:val="0068563F"/>
    <w:rsid w:val="00692150"/>
    <w:rsid w:val="006965FA"/>
    <w:rsid w:val="006A08E3"/>
    <w:rsid w:val="006B0EEC"/>
    <w:rsid w:val="006B4629"/>
    <w:rsid w:val="006C2B18"/>
    <w:rsid w:val="006D4CE0"/>
    <w:rsid w:val="006D729F"/>
    <w:rsid w:val="006E29C8"/>
    <w:rsid w:val="006E36FC"/>
    <w:rsid w:val="006E5B79"/>
    <w:rsid w:val="006E6E94"/>
    <w:rsid w:val="006E7447"/>
    <w:rsid w:val="00714897"/>
    <w:rsid w:val="00724C46"/>
    <w:rsid w:val="00727E71"/>
    <w:rsid w:val="007316F5"/>
    <w:rsid w:val="00735D7E"/>
    <w:rsid w:val="00744385"/>
    <w:rsid w:val="0076422B"/>
    <w:rsid w:val="007733C6"/>
    <w:rsid w:val="00782F79"/>
    <w:rsid w:val="00783689"/>
    <w:rsid w:val="00790820"/>
    <w:rsid w:val="00792D88"/>
    <w:rsid w:val="007A19A3"/>
    <w:rsid w:val="007A7E12"/>
    <w:rsid w:val="007F48A2"/>
    <w:rsid w:val="007F54AE"/>
    <w:rsid w:val="008152F1"/>
    <w:rsid w:val="00816D23"/>
    <w:rsid w:val="00817F7C"/>
    <w:rsid w:val="00832E29"/>
    <w:rsid w:val="00833D7E"/>
    <w:rsid w:val="00852A57"/>
    <w:rsid w:val="008557D4"/>
    <w:rsid w:val="00863EDC"/>
    <w:rsid w:val="00865CD2"/>
    <w:rsid w:val="0087528E"/>
    <w:rsid w:val="008A04F0"/>
    <w:rsid w:val="008A0D47"/>
    <w:rsid w:val="008A2F83"/>
    <w:rsid w:val="008C2CBC"/>
    <w:rsid w:val="008E6F5B"/>
    <w:rsid w:val="008F2323"/>
    <w:rsid w:val="00903A10"/>
    <w:rsid w:val="00904930"/>
    <w:rsid w:val="009108B0"/>
    <w:rsid w:val="00921D06"/>
    <w:rsid w:val="009349C1"/>
    <w:rsid w:val="00953B92"/>
    <w:rsid w:val="00965D45"/>
    <w:rsid w:val="009705FC"/>
    <w:rsid w:val="00976505"/>
    <w:rsid w:val="00983D2C"/>
    <w:rsid w:val="00984E25"/>
    <w:rsid w:val="00986C51"/>
    <w:rsid w:val="00991590"/>
    <w:rsid w:val="009A2581"/>
    <w:rsid w:val="009A3F28"/>
    <w:rsid w:val="009B36C9"/>
    <w:rsid w:val="009C216D"/>
    <w:rsid w:val="009E0A6B"/>
    <w:rsid w:val="009E1D16"/>
    <w:rsid w:val="009E1D95"/>
    <w:rsid w:val="009E7125"/>
    <w:rsid w:val="009F24D0"/>
    <w:rsid w:val="00A11D7F"/>
    <w:rsid w:val="00A21513"/>
    <w:rsid w:val="00A23826"/>
    <w:rsid w:val="00A35B51"/>
    <w:rsid w:val="00A37C47"/>
    <w:rsid w:val="00A4092E"/>
    <w:rsid w:val="00A523DA"/>
    <w:rsid w:val="00A52B71"/>
    <w:rsid w:val="00A600EB"/>
    <w:rsid w:val="00A76810"/>
    <w:rsid w:val="00A84363"/>
    <w:rsid w:val="00A91CE5"/>
    <w:rsid w:val="00AB7DB8"/>
    <w:rsid w:val="00AC6FFF"/>
    <w:rsid w:val="00B00D9E"/>
    <w:rsid w:val="00B33F40"/>
    <w:rsid w:val="00B42ECB"/>
    <w:rsid w:val="00B4407B"/>
    <w:rsid w:val="00B50B28"/>
    <w:rsid w:val="00B5552A"/>
    <w:rsid w:val="00B63C86"/>
    <w:rsid w:val="00B67DEC"/>
    <w:rsid w:val="00B9337E"/>
    <w:rsid w:val="00B9406A"/>
    <w:rsid w:val="00BA1F5B"/>
    <w:rsid w:val="00BB66DF"/>
    <w:rsid w:val="00BB7BBA"/>
    <w:rsid w:val="00BC59C3"/>
    <w:rsid w:val="00BC63AF"/>
    <w:rsid w:val="00BE606C"/>
    <w:rsid w:val="00BE75D4"/>
    <w:rsid w:val="00C20F7D"/>
    <w:rsid w:val="00C23DED"/>
    <w:rsid w:val="00C2749A"/>
    <w:rsid w:val="00C30960"/>
    <w:rsid w:val="00C3430C"/>
    <w:rsid w:val="00C35451"/>
    <w:rsid w:val="00C62BF8"/>
    <w:rsid w:val="00C6459F"/>
    <w:rsid w:val="00C67C72"/>
    <w:rsid w:val="00C74950"/>
    <w:rsid w:val="00C92479"/>
    <w:rsid w:val="00C94F4A"/>
    <w:rsid w:val="00C9685B"/>
    <w:rsid w:val="00CA4116"/>
    <w:rsid w:val="00CB5FF0"/>
    <w:rsid w:val="00CC4961"/>
    <w:rsid w:val="00CC506F"/>
    <w:rsid w:val="00CD069B"/>
    <w:rsid w:val="00CD7980"/>
    <w:rsid w:val="00CE0D8B"/>
    <w:rsid w:val="00D24F23"/>
    <w:rsid w:val="00D463E7"/>
    <w:rsid w:val="00D544C3"/>
    <w:rsid w:val="00D660A1"/>
    <w:rsid w:val="00D74A3A"/>
    <w:rsid w:val="00D763B0"/>
    <w:rsid w:val="00D90229"/>
    <w:rsid w:val="00DA2E4D"/>
    <w:rsid w:val="00DA4025"/>
    <w:rsid w:val="00DA5060"/>
    <w:rsid w:val="00DA68CF"/>
    <w:rsid w:val="00DB6858"/>
    <w:rsid w:val="00DE2848"/>
    <w:rsid w:val="00DE50B7"/>
    <w:rsid w:val="00DF4CFD"/>
    <w:rsid w:val="00DF5F60"/>
    <w:rsid w:val="00DF6CC0"/>
    <w:rsid w:val="00E036A8"/>
    <w:rsid w:val="00E05BDF"/>
    <w:rsid w:val="00E079EF"/>
    <w:rsid w:val="00E13D45"/>
    <w:rsid w:val="00E13F4F"/>
    <w:rsid w:val="00E25345"/>
    <w:rsid w:val="00E46BF9"/>
    <w:rsid w:val="00E471AE"/>
    <w:rsid w:val="00E55DBF"/>
    <w:rsid w:val="00E658A6"/>
    <w:rsid w:val="00E72967"/>
    <w:rsid w:val="00EB202E"/>
    <w:rsid w:val="00EC20CC"/>
    <w:rsid w:val="00EE45CF"/>
    <w:rsid w:val="00EF2804"/>
    <w:rsid w:val="00EF49A7"/>
    <w:rsid w:val="00EF60C0"/>
    <w:rsid w:val="00F0047D"/>
    <w:rsid w:val="00F22AE9"/>
    <w:rsid w:val="00F239C9"/>
    <w:rsid w:val="00F36FB6"/>
    <w:rsid w:val="00F505DE"/>
    <w:rsid w:val="00F54F54"/>
    <w:rsid w:val="00F56A14"/>
    <w:rsid w:val="00F63C41"/>
    <w:rsid w:val="00F65DD4"/>
    <w:rsid w:val="00F76E23"/>
    <w:rsid w:val="00F773AF"/>
    <w:rsid w:val="00F77AE2"/>
    <w:rsid w:val="00F81824"/>
    <w:rsid w:val="00F82FDC"/>
    <w:rsid w:val="00F85403"/>
    <w:rsid w:val="00F975D7"/>
    <w:rsid w:val="00FA352A"/>
    <w:rsid w:val="00FB09C4"/>
    <w:rsid w:val="00FB5968"/>
    <w:rsid w:val="00FC272C"/>
    <w:rsid w:val="00FE4150"/>
    <w:rsid w:val="00FF25CE"/>
    <w:rsid w:val="00FF40F9"/>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ADCE8C-D33E-46A8-AD12-CD6B4B6DD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s-Latn-B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B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B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B71"/>
    <w:rPr>
      <w:rFonts w:ascii="Tahoma" w:hAnsi="Tahoma" w:cs="Tahoma"/>
      <w:sz w:val="16"/>
      <w:szCs w:val="16"/>
    </w:rPr>
  </w:style>
  <w:style w:type="paragraph" w:styleId="Header">
    <w:name w:val="header"/>
    <w:basedOn w:val="Normal"/>
    <w:link w:val="HeaderChar"/>
    <w:uiPriority w:val="99"/>
    <w:unhideWhenUsed/>
    <w:rsid w:val="00A52B71"/>
    <w:pPr>
      <w:tabs>
        <w:tab w:val="center" w:pos="4536"/>
        <w:tab w:val="right" w:pos="9072"/>
      </w:tabs>
      <w:spacing w:after="0" w:line="240" w:lineRule="auto"/>
    </w:pPr>
  </w:style>
  <w:style w:type="character" w:customStyle="1" w:styleId="HeaderChar">
    <w:name w:val="Header Char"/>
    <w:basedOn w:val="DefaultParagraphFont"/>
    <w:link w:val="Header"/>
    <w:uiPriority w:val="99"/>
    <w:rsid w:val="00A52B71"/>
  </w:style>
  <w:style w:type="paragraph" w:styleId="Footer">
    <w:name w:val="footer"/>
    <w:basedOn w:val="Normal"/>
    <w:link w:val="FooterChar"/>
    <w:uiPriority w:val="99"/>
    <w:unhideWhenUsed/>
    <w:rsid w:val="00A52B71"/>
    <w:pPr>
      <w:tabs>
        <w:tab w:val="center" w:pos="4536"/>
        <w:tab w:val="right" w:pos="9072"/>
      </w:tabs>
      <w:spacing w:after="0" w:line="240" w:lineRule="auto"/>
    </w:pPr>
  </w:style>
  <w:style w:type="character" w:customStyle="1" w:styleId="FooterChar">
    <w:name w:val="Footer Char"/>
    <w:basedOn w:val="DefaultParagraphFont"/>
    <w:link w:val="Footer"/>
    <w:uiPriority w:val="99"/>
    <w:rsid w:val="00A52B71"/>
  </w:style>
  <w:style w:type="character" w:styleId="Hyperlink">
    <w:name w:val="Hyperlink"/>
    <w:unhideWhenUsed/>
    <w:rsid w:val="00A52B71"/>
    <w:rPr>
      <w:color w:val="238E68"/>
      <w:u w:val="single"/>
    </w:rPr>
  </w:style>
  <w:style w:type="paragraph" w:styleId="ListParagraph">
    <w:name w:val="List Paragraph"/>
    <w:basedOn w:val="Normal"/>
    <w:uiPriority w:val="34"/>
    <w:qFormat/>
    <w:rsid w:val="00FB09C4"/>
    <w:pPr>
      <w:ind w:left="720"/>
      <w:contextualSpacing/>
    </w:pPr>
  </w:style>
  <w:style w:type="paragraph" w:styleId="FootnoteText">
    <w:name w:val="footnote text"/>
    <w:basedOn w:val="Normal"/>
    <w:link w:val="FootnoteTextChar"/>
    <w:uiPriority w:val="99"/>
    <w:unhideWhenUsed/>
    <w:rsid w:val="0015370E"/>
    <w:pPr>
      <w:spacing w:after="0" w:line="240" w:lineRule="auto"/>
    </w:pPr>
    <w:rPr>
      <w:sz w:val="20"/>
      <w:szCs w:val="20"/>
    </w:rPr>
  </w:style>
  <w:style w:type="character" w:customStyle="1" w:styleId="FootnoteTextChar">
    <w:name w:val="Footnote Text Char"/>
    <w:basedOn w:val="DefaultParagraphFont"/>
    <w:link w:val="FootnoteText"/>
    <w:uiPriority w:val="99"/>
    <w:rsid w:val="0015370E"/>
    <w:rPr>
      <w:sz w:val="20"/>
      <w:szCs w:val="20"/>
    </w:rPr>
  </w:style>
  <w:style w:type="character" w:styleId="FootnoteReference">
    <w:name w:val="footnote reference"/>
    <w:basedOn w:val="DefaultParagraphFont"/>
    <w:uiPriority w:val="99"/>
    <w:unhideWhenUsed/>
    <w:rsid w:val="0015370E"/>
    <w:rPr>
      <w:vertAlign w:val="superscript"/>
    </w:rPr>
  </w:style>
  <w:style w:type="character" w:styleId="Strong">
    <w:name w:val="Strong"/>
    <w:uiPriority w:val="22"/>
    <w:qFormat/>
    <w:rsid w:val="005B33C5"/>
    <w:rPr>
      <w:rFonts w:cs="Times New Roman"/>
      <w:b/>
      <w:bCs/>
    </w:rPr>
  </w:style>
  <w:style w:type="table" w:styleId="TableGrid">
    <w:name w:val="Table Grid"/>
    <w:basedOn w:val="TableNormal"/>
    <w:uiPriority w:val="59"/>
    <w:rsid w:val="00461E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86C51"/>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styleId="EndnoteText">
    <w:name w:val="endnote text"/>
    <w:basedOn w:val="Normal"/>
    <w:link w:val="EndnoteTextChar"/>
    <w:uiPriority w:val="99"/>
    <w:semiHidden/>
    <w:unhideWhenUsed/>
    <w:rsid w:val="00290D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90DBE"/>
    <w:rPr>
      <w:sz w:val="20"/>
      <w:szCs w:val="20"/>
    </w:rPr>
  </w:style>
  <w:style w:type="character" w:styleId="EndnoteReference">
    <w:name w:val="endnote reference"/>
    <w:basedOn w:val="DefaultParagraphFont"/>
    <w:uiPriority w:val="99"/>
    <w:semiHidden/>
    <w:unhideWhenUsed/>
    <w:rsid w:val="00290D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8595">
      <w:bodyDiv w:val="1"/>
      <w:marLeft w:val="0"/>
      <w:marRight w:val="0"/>
      <w:marTop w:val="0"/>
      <w:marBottom w:val="0"/>
      <w:divBdr>
        <w:top w:val="none" w:sz="0" w:space="0" w:color="auto"/>
        <w:left w:val="none" w:sz="0" w:space="0" w:color="auto"/>
        <w:bottom w:val="none" w:sz="0" w:space="0" w:color="auto"/>
        <w:right w:val="none" w:sz="0" w:space="0" w:color="auto"/>
      </w:divBdr>
    </w:div>
    <w:div w:id="49111783">
      <w:bodyDiv w:val="1"/>
      <w:marLeft w:val="0"/>
      <w:marRight w:val="0"/>
      <w:marTop w:val="0"/>
      <w:marBottom w:val="0"/>
      <w:divBdr>
        <w:top w:val="none" w:sz="0" w:space="0" w:color="auto"/>
        <w:left w:val="none" w:sz="0" w:space="0" w:color="auto"/>
        <w:bottom w:val="none" w:sz="0" w:space="0" w:color="auto"/>
        <w:right w:val="none" w:sz="0" w:space="0" w:color="auto"/>
      </w:divBdr>
    </w:div>
    <w:div w:id="151990389">
      <w:bodyDiv w:val="1"/>
      <w:marLeft w:val="0"/>
      <w:marRight w:val="0"/>
      <w:marTop w:val="0"/>
      <w:marBottom w:val="0"/>
      <w:divBdr>
        <w:top w:val="none" w:sz="0" w:space="0" w:color="auto"/>
        <w:left w:val="none" w:sz="0" w:space="0" w:color="auto"/>
        <w:bottom w:val="none" w:sz="0" w:space="0" w:color="auto"/>
        <w:right w:val="none" w:sz="0" w:space="0" w:color="auto"/>
      </w:divBdr>
    </w:div>
    <w:div w:id="310326547">
      <w:bodyDiv w:val="1"/>
      <w:marLeft w:val="0"/>
      <w:marRight w:val="0"/>
      <w:marTop w:val="0"/>
      <w:marBottom w:val="0"/>
      <w:divBdr>
        <w:top w:val="none" w:sz="0" w:space="0" w:color="auto"/>
        <w:left w:val="none" w:sz="0" w:space="0" w:color="auto"/>
        <w:bottom w:val="none" w:sz="0" w:space="0" w:color="auto"/>
        <w:right w:val="none" w:sz="0" w:space="0" w:color="auto"/>
      </w:divBdr>
    </w:div>
    <w:div w:id="877551629">
      <w:bodyDiv w:val="1"/>
      <w:marLeft w:val="0"/>
      <w:marRight w:val="0"/>
      <w:marTop w:val="0"/>
      <w:marBottom w:val="0"/>
      <w:divBdr>
        <w:top w:val="none" w:sz="0" w:space="0" w:color="auto"/>
        <w:left w:val="none" w:sz="0" w:space="0" w:color="auto"/>
        <w:bottom w:val="none" w:sz="0" w:space="0" w:color="auto"/>
        <w:right w:val="none" w:sz="0" w:space="0" w:color="auto"/>
      </w:divBdr>
    </w:div>
    <w:div w:id="916980730">
      <w:bodyDiv w:val="1"/>
      <w:marLeft w:val="0"/>
      <w:marRight w:val="0"/>
      <w:marTop w:val="0"/>
      <w:marBottom w:val="0"/>
      <w:divBdr>
        <w:top w:val="none" w:sz="0" w:space="0" w:color="auto"/>
        <w:left w:val="none" w:sz="0" w:space="0" w:color="auto"/>
        <w:bottom w:val="none" w:sz="0" w:space="0" w:color="auto"/>
        <w:right w:val="none" w:sz="0" w:space="0" w:color="auto"/>
      </w:divBdr>
    </w:div>
    <w:div w:id="1271625085">
      <w:bodyDiv w:val="1"/>
      <w:marLeft w:val="0"/>
      <w:marRight w:val="0"/>
      <w:marTop w:val="0"/>
      <w:marBottom w:val="0"/>
      <w:divBdr>
        <w:top w:val="none" w:sz="0" w:space="0" w:color="auto"/>
        <w:left w:val="none" w:sz="0" w:space="0" w:color="auto"/>
        <w:bottom w:val="none" w:sz="0" w:space="0" w:color="auto"/>
        <w:right w:val="none" w:sz="0" w:space="0" w:color="auto"/>
      </w:divBdr>
    </w:div>
    <w:div w:id="1386371804">
      <w:bodyDiv w:val="1"/>
      <w:marLeft w:val="0"/>
      <w:marRight w:val="0"/>
      <w:marTop w:val="0"/>
      <w:marBottom w:val="0"/>
      <w:divBdr>
        <w:top w:val="none" w:sz="0" w:space="0" w:color="auto"/>
        <w:left w:val="none" w:sz="0" w:space="0" w:color="auto"/>
        <w:bottom w:val="none" w:sz="0" w:space="0" w:color="auto"/>
        <w:right w:val="none" w:sz="0" w:space="0" w:color="auto"/>
      </w:divBdr>
    </w:div>
    <w:div w:id="208629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Sheet2!$B$1</c:f>
              <c:strCache>
                <c:ptCount val="1"/>
                <c:pt idx="0">
                  <c:v>Ukupno praćenja</c:v>
                </c:pt>
              </c:strCache>
            </c:strRef>
          </c:tx>
          <c:invertIfNegative val="0"/>
          <c:cat>
            <c:strRef>
              <c:f>Sheet2!$A$2:$A$7</c:f>
              <c:strCache>
                <c:ptCount val="6"/>
                <c:pt idx="0">
                  <c:v>E-aukcija </c:v>
                </c:pt>
                <c:pt idx="1">
                  <c:v>Planovi nabavki</c:v>
                </c:pt>
                <c:pt idx="2">
                  <c:v>Prekoračena vrijednost u postupcima nabavke male vrijednosti</c:v>
                </c:pt>
                <c:pt idx="3">
                  <c:v>Po zahtjevima ponuđača</c:v>
                </c:pt>
                <c:pt idx="4">
                  <c:v>Po dopisu TI BIH</c:v>
                </c:pt>
                <c:pt idx="5">
                  <c:v>Ostalo</c:v>
                </c:pt>
              </c:strCache>
            </c:strRef>
          </c:cat>
          <c:val>
            <c:numRef>
              <c:f>Sheet2!$B$2:$B$7</c:f>
              <c:numCache>
                <c:formatCode>General</c:formatCode>
                <c:ptCount val="6"/>
                <c:pt idx="0">
                  <c:v>117</c:v>
                </c:pt>
                <c:pt idx="1">
                  <c:v>11</c:v>
                </c:pt>
                <c:pt idx="2">
                  <c:v>66</c:v>
                </c:pt>
                <c:pt idx="3">
                  <c:v>44</c:v>
                </c:pt>
                <c:pt idx="4">
                  <c:v>45</c:v>
                </c:pt>
                <c:pt idx="5">
                  <c:v>64</c:v>
                </c:pt>
              </c:numCache>
            </c:numRef>
          </c:val>
          <c:extLst xmlns:c16r2="http://schemas.microsoft.com/office/drawing/2015/06/chart">
            <c:ext xmlns:c16="http://schemas.microsoft.com/office/drawing/2014/chart" uri="{C3380CC4-5D6E-409C-BE32-E72D297353CC}">
              <c16:uniqueId val="{00000000-F4B3-410E-ABBD-0439E44513E1}"/>
            </c:ext>
          </c:extLst>
        </c:ser>
        <c:dLbls>
          <c:showLegendKey val="0"/>
          <c:showVal val="0"/>
          <c:showCatName val="0"/>
          <c:showSerName val="0"/>
          <c:showPercent val="0"/>
          <c:showBubbleSize val="0"/>
        </c:dLbls>
        <c:gapWidth val="150"/>
        <c:shape val="box"/>
        <c:axId val="167994360"/>
        <c:axId val="167996320"/>
        <c:axId val="0"/>
      </c:bar3DChart>
      <c:catAx>
        <c:axId val="167994360"/>
        <c:scaling>
          <c:orientation val="minMax"/>
        </c:scaling>
        <c:delete val="0"/>
        <c:axPos val="b"/>
        <c:numFmt formatCode="General" sourceLinked="0"/>
        <c:majorTickMark val="out"/>
        <c:minorTickMark val="none"/>
        <c:tickLblPos val="nextTo"/>
        <c:txPr>
          <a:bodyPr/>
          <a:lstStyle/>
          <a:p>
            <a:pPr>
              <a:defRPr sz="800"/>
            </a:pPr>
            <a:endParaRPr lang="sr-Latn-RS"/>
          </a:p>
        </c:txPr>
        <c:crossAx val="167996320"/>
        <c:crosses val="autoZero"/>
        <c:auto val="1"/>
        <c:lblAlgn val="ctr"/>
        <c:lblOffset val="100"/>
        <c:noMultiLvlLbl val="0"/>
      </c:catAx>
      <c:valAx>
        <c:axId val="167996320"/>
        <c:scaling>
          <c:orientation val="minMax"/>
        </c:scaling>
        <c:delete val="0"/>
        <c:axPos val="l"/>
        <c:majorGridlines/>
        <c:numFmt formatCode="General" sourceLinked="1"/>
        <c:majorTickMark val="out"/>
        <c:minorTickMark val="none"/>
        <c:tickLblPos val="nextTo"/>
        <c:crossAx val="16799436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Sheet1!$B$11</c:f>
              <c:strCache>
                <c:ptCount val="1"/>
                <c:pt idx="0">
                  <c:v>Broj ugovora</c:v>
                </c:pt>
              </c:strCache>
            </c:strRef>
          </c:tx>
          <c:invertIfNegative val="0"/>
          <c:cat>
            <c:strRef>
              <c:f>Sheet1!$A$12:$A$14</c:f>
              <c:strCache>
                <c:ptCount val="3"/>
                <c:pt idx="0">
                  <c:v>Radovi</c:v>
                </c:pt>
                <c:pt idx="1">
                  <c:v>Robe</c:v>
                </c:pt>
                <c:pt idx="2">
                  <c:v>Usluge</c:v>
                </c:pt>
              </c:strCache>
            </c:strRef>
          </c:cat>
          <c:val>
            <c:numRef>
              <c:f>Sheet1!$B$12:$B$14</c:f>
              <c:numCache>
                <c:formatCode>General</c:formatCode>
                <c:ptCount val="3"/>
                <c:pt idx="0">
                  <c:v>433</c:v>
                </c:pt>
                <c:pt idx="1">
                  <c:v>492</c:v>
                </c:pt>
                <c:pt idx="2">
                  <c:v>621</c:v>
                </c:pt>
              </c:numCache>
            </c:numRef>
          </c:val>
          <c:extLst xmlns:c16r2="http://schemas.microsoft.com/office/drawing/2015/06/chart">
            <c:ext xmlns:c16="http://schemas.microsoft.com/office/drawing/2014/chart" uri="{C3380CC4-5D6E-409C-BE32-E72D297353CC}">
              <c16:uniqueId val="{00000000-E226-4E2F-8E39-1C91120083B7}"/>
            </c:ext>
          </c:extLst>
        </c:ser>
        <c:dLbls>
          <c:showLegendKey val="0"/>
          <c:showVal val="0"/>
          <c:showCatName val="0"/>
          <c:showSerName val="0"/>
          <c:showPercent val="0"/>
          <c:showBubbleSize val="0"/>
        </c:dLbls>
        <c:gapWidth val="150"/>
        <c:shape val="box"/>
        <c:axId val="326538944"/>
        <c:axId val="326536984"/>
        <c:axId val="0"/>
      </c:bar3DChart>
      <c:catAx>
        <c:axId val="326538944"/>
        <c:scaling>
          <c:orientation val="minMax"/>
        </c:scaling>
        <c:delete val="0"/>
        <c:axPos val="b"/>
        <c:numFmt formatCode="General" sourceLinked="0"/>
        <c:majorTickMark val="out"/>
        <c:minorTickMark val="none"/>
        <c:tickLblPos val="nextTo"/>
        <c:crossAx val="326536984"/>
        <c:crosses val="autoZero"/>
        <c:auto val="1"/>
        <c:lblAlgn val="ctr"/>
        <c:lblOffset val="100"/>
        <c:noMultiLvlLbl val="0"/>
      </c:catAx>
      <c:valAx>
        <c:axId val="326536984"/>
        <c:scaling>
          <c:orientation val="minMax"/>
        </c:scaling>
        <c:delete val="0"/>
        <c:axPos val="l"/>
        <c:majorGridlines/>
        <c:numFmt formatCode="General" sourceLinked="1"/>
        <c:majorTickMark val="out"/>
        <c:minorTickMark val="none"/>
        <c:tickLblPos val="nextTo"/>
        <c:crossAx val="32653894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Sheet1!$A$1:$H$1</c:f>
              <c:strCache>
                <c:ptCount val="8"/>
                <c:pt idx="0">
                  <c:v>Bosna i Hercegovina</c:v>
                </c:pt>
                <c:pt idx="1">
                  <c:v>Brčko Distrikt BiH</c:v>
                </c:pt>
                <c:pt idx="2">
                  <c:v>Federacija BiH</c:v>
                </c:pt>
                <c:pt idx="3">
                  <c:v>Republika Srpska</c:v>
                </c:pt>
                <c:pt idx="4">
                  <c:v>Kantoni </c:v>
                </c:pt>
                <c:pt idx="5">
                  <c:v>Grad </c:v>
                </c:pt>
                <c:pt idx="6">
                  <c:v>Opštine</c:v>
                </c:pt>
                <c:pt idx="7">
                  <c:v>Total</c:v>
                </c:pt>
              </c:strCache>
            </c:strRef>
          </c:cat>
          <c:val>
            <c:numRef>
              <c:f>Sheet1!$A$2:$H$2</c:f>
              <c:numCache>
                <c:formatCode>General</c:formatCode>
                <c:ptCount val="8"/>
                <c:pt idx="0">
                  <c:v>85</c:v>
                </c:pt>
                <c:pt idx="1">
                  <c:v>46</c:v>
                </c:pt>
                <c:pt idx="2">
                  <c:v>268</c:v>
                </c:pt>
                <c:pt idx="3">
                  <c:v>415</c:v>
                </c:pt>
                <c:pt idx="4">
                  <c:v>231</c:v>
                </c:pt>
                <c:pt idx="5">
                  <c:v>160</c:v>
                </c:pt>
                <c:pt idx="6">
                  <c:v>341</c:v>
                </c:pt>
                <c:pt idx="7">
                  <c:v>1546</c:v>
                </c:pt>
              </c:numCache>
            </c:numRef>
          </c:val>
          <c:extLst xmlns:c16r2="http://schemas.microsoft.com/office/drawing/2015/06/chart">
            <c:ext xmlns:c16="http://schemas.microsoft.com/office/drawing/2014/chart" uri="{C3380CC4-5D6E-409C-BE32-E72D297353CC}">
              <c16:uniqueId val="{00000000-B927-4C45-9B06-B928F44B22BE}"/>
            </c:ext>
          </c:extLst>
        </c:ser>
        <c:dLbls>
          <c:showLegendKey val="0"/>
          <c:showVal val="0"/>
          <c:showCatName val="0"/>
          <c:showSerName val="0"/>
          <c:showPercent val="0"/>
          <c:showBubbleSize val="0"/>
        </c:dLbls>
        <c:gapWidth val="150"/>
        <c:shape val="box"/>
        <c:axId val="326534240"/>
        <c:axId val="326533848"/>
        <c:axId val="0"/>
      </c:bar3DChart>
      <c:catAx>
        <c:axId val="326534240"/>
        <c:scaling>
          <c:orientation val="minMax"/>
        </c:scaling>
        <c:delete val="0"/>
        <c:axPos val="b"/>
        <c:numFmt formatCode="General" sourceLinked="0"/>
        <c:majorTickMark val="out"/>
        <c:minorTickMark val="none"/>
        <c:tickLblPos val="nextTo"/>
        <c:crossAx val="326533848"/>
        <c:crosses val="autoZero"/>
        <c:auto val="1"/>
        <c:lblAlgn val="ctr"/>
        <c:lblOffset val="100"/>
        <c:noMultiLvlLbl val="0"/>
      </c:catAx>
      <c:valAx>
        <c:axId val="326533848"/>
        <c:scaling>
          <c:orientation val="minMax"/>
        </c:scaling>
        <c:delete val="0"/>
        <c:axPos val="l"/>
        <c:majorGridlines/>
        <c:numFmt formatCode="General" sourceLinked="1"/>
        <c:majorTickMark val="out"/>
        <c:minorTickMark val="none"/>
        <c:tickLblPos val="nextTo"/>
        <c:crossAx val="32653424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Sheet1!$A$10:$G$10</c:f>
              <c:strCache>
                <c:ptCount val="7"/>
                <c:pt idx="0">
                  <c:v>Bosna i Hercegovina</c:v>
                </c:pt>
                <c:pt idx="1">
                  <c:v>Brčko Distrikt BiH</c:v>
                </c:pt>
                <c:pt idx="2">
                  <c:v>Federacija BiH</c:v>
                </c:pt>
                <c:pt idx="3">
                  <c:v>Republika Srpska</c:v>
                </c:pt>
                <c:pt idx="4">
                  <c:v>Kantoni </c:v>
                </c:pt>
                <c:pt idx="5">
                  <c:v>Grad </c:v>
                </c:pt>
                <c:pt idx="6">
                  <c:v>Opštine</c:v>
                </c:pt>
              </c:strCache>
            </c:strRef>
          </c:cat>
          <c:val>
            <c:numRef>
              <c:f>Sheet1!$A$11:$G$11</c:f>
              <c:numCache>
                <c:formatCode>0.00%</c:formatCode>
                <c:ptCount val="7"/>
                <c:pt idx="0">
                  <c:v>5.5E-2</c:v>
                </c:pt>
                <c:pt idx="1">
                  <c:v>2.9700000000000001E-2</c:v>
                </c:pt>
                <c:pt idx="2">
                  <c:v>0.17330000000000001</c:v>
                </c:pt>
                <c:pt idx="3">
                  <c:v>0.26840000000000003</c:v>
                </c:pt>
                <c:pt idx="4">
                  <c:v>0.14940000000000001</c:v>
                </c:pt>
                <c:pt idx="5">
                  <c:v>0.10349999999999999</c:v>
                </c:pt>
                <c:pt idx="6">
                  <c:v>0.22070000000000001</c:v>
                </c:pt>
              </c:numCache>
            </c:numRef>
          </c:val>
          <c:extLst xmlns:c16r2="http://schemas.microsoft.com/office/drawing/2015/06/chart">
            <c:ext xmlns:c16="http://schemas.microsoft.com/office/drawing/2014/chart" uri="{C3380CC4-5D6E-409C-BE32-E72D297353CC}">
              <c16:uniqueId val="{00000000-37EF-4376-93B2-95B12062FACB}"/>
            </c:ext>
          </c:extLst>
        </c:ser>
        <c:dLbls>
          <c:showLegendKey val="0"/>
          <c:showVal val="0"/>
          <c:showCatName val="0"/>
          <c:showSerName val="0"/>
          <c:showPercent val="0"/>
          <c:showBubbleSize val="0"/>
        </c:dLbls>
        <c:gapWidth val="150"/>
        <c:shape val="box"/>
        <c:axId val="326538552"/>
        <c:axId val="326540120"/>
        <c:axId val="0"/>
      </c:bar3DChart>
      <c:catAx>
        <c:axId val="326538552"/>
        <c:scaling>
          <c:orientation val="minMax"/>
        </c:scaling>
        <c:delete val="0"/>
        <c:axPos val="b"/>
        <c:numFmt formatCode="General" sourceLinked="0"/>
        <c:majorTickMark val="out"/>
        <c:minorTickMark val="none"/>
        <c:tickLblPos val="nextTo"/>
        <c:crossAx val="326540120"/>
        <c:crosses val="autoZero"/>
        <c:auto val="1"/>
        <c:lblAlgn val="ctr"/>
        <c:lblOffset val="100"/>
        <c:noMultiLvlLbl val="0"/>
      </c:catAx>
      <c:valAx>
        <c:axId val="326540120"/>
        <c:scaling>
          <c:orientation val="minMax"/>
        </c:scaling>
        <c:delete val="0"/>
        <c:axPos val="l"/>
        <c:majorGridlines/>
        <c:numFmt formatCode="0.00%" sourceLinked="1"/>
        <c:majorTickMark val="out"/>
        <c:minorTickMark val="none"/>
        <c:tickLblPos val="nextTo"/>
        <c:crossAx val="32653855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8456736061835"/>
          <c:y val="9.546093162764939E-2"/>
          <c:w val="0.54136368110236222"/>
          <c:h val="0.81204547169995867"/>
        </c:manualLayout>
      </c:layout>
      <c:pieChart>
        <c:varyColors val="1"/>
        <c:ser>
          <c:idx val="0"/>
          <c:order val="0"/>
          <c:tx>
            <c:strRef>
              <c:f>Sheet1!$B$1</c:f>
              <c:strCache>
                <c:ptCount val="1"/>
                <c:pt idx="0">
                  <c:v>Sales</c:v>
                </c:pt>
              </c:strCache>
            </c:strRef>
          </c:tx>
          <c:spPr>
            <a:scene3d>
              <a:camera prst="orthographicFront"/>
              <a:lightRig rig="threePt" dir="t"/>
            </a:scene3d>
            <a:sp3d>
              <a:bevelT prst="relaxedInset"/>
            </a:sp3d>
          </c:spPr>
          <c:explosion val="1"/>
          <c:dPt>
            <c:idx val="0"/>
            <c:bubble3D val="0"/>
            <c:extLst xmlns:c16r2="http://schemas.microsoft.com/office/drawing/2015/06/chart">
              <c:ext xmlns:c16="http://schemas.microsoft.com/office/drawing/2014/chart" uri="{C3380CC4-5D6E-409C-BE32-E72D297353CC}">
                <c16:uniqueId val="{00000000-8B49-435C-AED0-61ECDD0454B0}"/>
              </c:ext>
            </c:extLst>
          </c:dPt>
          <c:dPt>
            <c:idx val="1"/>
            <c:bubble3D val="0"/>
            <c:extLst xmlns:c16r2="http://schemas.microsoft.com/office/drawing/2015/06/chart">
              <c:ext xmlns:c16="http://schemas.microsoft.com/office/drawing/2014/chart" uri="{C3380CC4-5D6E-409C-BE32-E72D297353CC}">
                <c16:uniqueId val="{00000001-8B49-435C-AED0-61ECDD0454B0}"/>
              </c:ext>
            </c:extLst>
          </c:dPt>
          <c:dPt>
            <c:idx val="2"/>
            <c:bubble3D val="0"/>
            <c:extLst xmlns:c16r2="http://schemas.microsoft.com/office/drawing/2015/06/chart">
              <c:ext xmlns:c16="http://schemas.microsoft.com/office/drawing/2014/chart" uri="{C3380CC4-5D6E-409C-BE32-E72D297353CC}">
                <c16:uniqueId val="{00000002-8B49-435C-AED0-61ECDD0454B0}"/>
              </c:ext>
            </c:extLst>
          </c:dPt>
          <c:dPt>
            <c:idx val="3"/>
            <c:bubble3D val="0"/>
            <c:extLst xmlns:c16r2="http://schemas.microsoft.com/office/drawing/2015/06/chart">
              <c:ext xmlns:c16="http://schemas.microsoft.com/office/drawing/2014/chart" uri="{C3380CC4-5D6E-409C-BE32-E72D297353CC}">
                <c16:uniqueId val="{00000003-8B49-435C-AED0-61ECDD0454B0}"/>
              </c:ext>
            </c:extLst>
          </c:dPt>
          <c:cat>
            <c:strRef>
              <c:f>Sheet1!$A$2:$A$5</c:f>
              <c:strCache>
                <c:ptCount val="4"/>
                <c:pt idx="0">
                  <c:v>Clan 21</c:v>
                </c:pt>
                <c:pt idx="1">
                  <c:v>Član 22</c:v>
                </c:pt>
                <c:pt idx="2">
                  <c:v>Clan 23</c:v>
                </c:pt>
                <c:pt idx="3">
                  <c:v>Clan 24</c:v>
                </c:pt>
              </c:strCache>
            </c:strRef>
          </c:cat>
          <c:val>
            <c:numRef>
              <c:f>Sheet1!$B$2:$B$5</c:f>
              <c:numCache>
                <c:formatCode>General</c:formatCode>
                <c:ptCount val="4"/>
                <c:pt idx="0">
                  <c:v>1118</c:v>
                </c:pt>
                <c:pt idx="1">
                  <c:v>51</c:v>
                </c:pt>
                <c:pt idx="2">
                  <c:v>73</c:v>
                </c:pt>
                <c:pt idx="3">
                  <c:v>304</c:v>
                </c:pt>
              </c:numCache>
            </c:numRef>
          </c:val>
          <c:extLst xmlns:c16r2="http://schemas.microsoft.com/office/drawing/2015/06/chart">
            <c:ext xmlns:c16="http://schemas.microsoft.com/office/drawing/2014/chart" uri="{C3380CC4-5D6E-409C-BE32-E72D297353CC}">
              <c16:uniqueId val="{00000004-8B49-435C-AED0-61ECDD0454B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6535154816342379"/>
          <c:y val="0.57469392380081674"/>
          <c:w val="0.2675421189364936"/>
          <c:h val="0.24014983758920788"/>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noFill/>
    <a:ln>
      <a:noFill/>
    </a:ln>
    <a:effectLst/>
  </c:spPr>
  <c:txPr>
    <a:bodyPr/>
    <a:lstStyle/>
    <a:p>
      <a:pPr>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Sheet4!$A$1:$D$1</c:f>
              <c:strCache>
                <c:ptCount val="4"/>
                <c:pt idx="0">
                  <c:v>Clan 21 (1) a)</c:v>
                </c:pt>
                <c:pt idx="1">
                  <c:v>Clan 21. (1) b)</c:v>
                </c:pt>
                <c:pt idx="2">
                  <c:v>Clan 21.(1) c)</c:v>
                </c:pt>
                <c:pt idx="3">
                  <c:v>Clan 21.(1) d)</c:v>
                </c:pt>
              </c:strCache>
            </c:strRef>
          </c:cat>
          <c:val>
            <c:numRef>
              <c:f>Sheet4!$A$2:$D$2</c:f>
              <c:numCache>
                <c:formatCode>General</c:formatCode>
                <c:ptCount val="4"/>
                <c:pt idx="0">
                  <c:v>226</c:v>
                </c:pt>
                <c:pt idx="1">
                  <c:v>9</c:v>
                </c:pt>
                <c:pt idx="2">
                  <c:v>607</c:v>
                </c:pt>
                <c:pt idx="3">
                  <c:v>276</c:v>
                </c:pt>
              </c:numCache>
            </c:numRef>
          </c:val>
          <c:extLst xmlns:c16r2="http://schemas.microsoft.com/office/drawing/2015/06/chart">
            <c:ext xmlns:c16="http://schemas.microsoft.com/office/drawing/2014/chart" uri="{C3380CC4-5D6E-409C-BE32-E72D297353CC}">
              <c16:uniqueId val="{00000000-8B80-416A-8052-F08FDB563C37}"/>
            </c:ext>
          </c:extLst>
        </c:ser>
        <c:dLbls>
          <c:showLegendKey val="0"/>
          <c:showVal val="0"/>
          <c:showCatName val="0"/>
          <c:showSerName val="0"/>
          <c:showPercent val="0"/>
          <c:showBubbleSize val="0"/>
        </c:dLbls>
        <c:gapWidth val="150"/>
        <c:shape val="box"/>
        <c:axId val="326537376"/>
        <c:axId val="326541296"/>
        <c:axId val="0"/>
      </c:bar3DChart>
      <c:catAx>
        <c:axId val="326537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6541296"/>
        <c:crosses val="autoZero"/>
        <c:auto val="1"/>
        <c:lblAlgn val="ctr"/>
        <c:lblOffset val="100"/>
        <c:noMultiLvlLbl val="0"/>
      </c:catAx>
      <c:valAx>
        <c:axId val="326541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6537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Sheet4!$A$2</c:f>
              <c:strCache>
                <c:ptCount val="1"/>
                <c:pt idx="0">
                  <c:v>Tacka a)</c:v>
                </c:pt>
              </c:strCache>
            </c:strRef>
          </c:tx>
          <c:spPr>
            <a:solidFill>
              <a:schemeClr val="accent1"/>
            </a:solidFill>
            <a:ln>
              <a:noFill/>
            </a:ln>
            <a:effectLst/>
            <a:sp3d/>
          </c:spPr>
          <c:invertIfNegative val="0"/>
          <c:cat>
            <c:strRef>
              <c:f>Sheet4!$B$1:$E$1</c:f>
              <c:strCache>
                <c:ptCount val="4"/>
                <c:pt idx="0">
                  <c:v>Clan 21 stav (1) </c:v>
                </c:pt>
                <c:pt idx="1">
                  <c:v>Clan 22. stav (1)</c:v>
                </c:pt>
                <c:pt idx="2">
                  <c:v>Clan 23. stav (1)</c:v>
                </c:pt>
                <c:pt idx="3">
                  <c:v>Clan 24. stav (1)</c:v>
                </c:pt>
              </c:strCache>
            </c:strRef>
          </c:cat>
          <c:val>
            <c:numRef>
              <c:f>Sheet4!$B$2:$E$2</c:f>
              <c:numCache>
                <c:formatCode>General</c:formatCode>
                <c:ptCount val="4"/>
                <c:pt idx="0">
                  <c:v>226</c:v>
                </c:pt>
                <c:pt idx="1">
                  <c:v>3</c:v>
                </c:pt>
                <c:pt idx="2">
                  <c:v>3</c:v>
                </c:pt>
                <c:pt idx="3">
                  <c:v>250</c:v>
                </c:pt>
              </c:numCache>
            </c:numRef>
          </c:val>
          <c:extLst xmlns:c16r2="http://schemas.microsoft.com/office/drawing/2015/06/chart">
            <c:ext xmlns:c16="http://schemas.microsoft.com/office/drawing/2014/chart" uri="{C3380CC4-5D6E-409C-BE32-E72D297353CC}">
              <c16:uniqueId val="{00000000-A0E7-46A2-B266-6EB4C01A2D5F}"/>
            </c:ext>
          </c:extLst>
        </c:ser>
        <c:ser>
          <c:idx val="1"/>
          <c:order val="1"/>
          <c:tx>
            <c:strRef>
              <c:f>Sheet4!$A$3</c:f>
              <c:strCache>
                <c:ptCount val="1"/>
                <c:pt idx="0">
                  <c:v>Tacka b)</c:v>
                </c:pt>
              </c:strCache>
            </c:strRef>
          </c:tx>
          <c:spPr>
            <a:solidFill>
              <a:schemeClr val="accent2"/>
            </a:solidFill>
            <a:ln>
              <a:noFill/>
            </a:ln>
            <a:effectLst/>
            <a:sp3d/>
          </c:spPr>
          <c:invertIfNegative val="0"/>
          <c:cat>
            <c:strRef>
              <c:f>Sheet4!$B$1:$E$1</c:f>
              <c:strCache>
                <c:ptCount val="4"/>
                <c:pt idx="0">
                  <c:v>Clan 21 stav (1) </c:v>
                </c:pt>
                <c:pt idx="1">
                  <c:v>Clan 22. stav (1)</c:v>
                </c:pt>
                <c:pt idx="2">
                  <c:v>Clan 23. stav (1)</c:v>
                </c:pt>
                <c:pt idx="3">
                  <c:v>Clan 24. stav (1)</c:v>
                </c:pt>
              </c:strCache>
            </c:strRef>
          </c:cat>
          <c:val>
            <c:numRef>
              <c:f>Sheet4!$B$3:$E$3</c:f>
              <c:numCache>
                <c:formatCode>General</c:formatCode>
                <c:ptCount val="4"/>
                <c:pt idx="0">
                  <c:v>9</c:v>
                </c:pt>
                <c:pt idx="1">
                  <c:v>42</c:v>
                </c:pt>
                <c:pt idx="2">
                  <c:v>48</c:v>
                </c:pt>
                <c:pt idx="3">
                  <c:v>54</c:v>
                </c:pt>
              </c:numCache>
            </c:numRef>
          </c:val>
          <c:extLst xmlns:c16r2="http://schemas.microsoft.com/office/drawing/2015/06/chart">
            <c:ext xmlns:c16="http://schemas.microsoft.com/office/drawing/2014/chart" uri="{C3380CC4-5D6E-409C-BE32-E72D297353CC}">
              <c16:uniqueId val="{00000001-A0E7-46A2-B266-6EB4C01A2D5F}"/>
            </c:ext>
          </c:extLst>
        </c:ser>
        <c:ser>
          <c:idx val="2"/>
          <c:order val="2"/>
          <c:tx>
            <c:strRef>
              <c:f>Sheet4!$A$4</c:f>
              <c:strCache>
                <c:ptCount val="1"/>
                <c:pt idx="0">
                  <c:v>Tacka c)</c:v>
                </c:pt>
              </c:strCache>
            </c:strRef>
          </c:tx>
          <c:spPr>
            <a:solidFill>
              <a:schemeClr val="accent3"/>
            </a:solidFill>
            <a:ln>
              <a:noFill/>
            </a:ln>
            <a:effectLst/>
            <a:sp3d/>
          </c:spPr>
          <c:invertIfNegative val="0"/>
          <c:cat>
            <c:strRef>
              <c:f>Sheet4!$B$1:$E$1</c:f>
              <c:strCache>
                <c:ptCount val="4"/>
                <c:pt idx="0">
                  <c:v>Clan 21 stav (1) </c:v>
                </c:pt>
                <c:pt idx="1">
                  <c:v>Clan 22. stav (1)</c:v>
                </c:pt>
                <c:pt idx="2">
                  <c:v>Clan 23. stav (1)</c:v>
                </c:pt>
                <c:pt idx="3">
                  <c:v>Clan 24. stav (1)</c:v>
                </c:pt>
              </c:strCache>
            </c:strRef>
          </c:cat>
          <c:val>
            <c:numRef>
              <c:f>Sheet4!$B$4:$E$4</c:f>
              <c:numCache>
                <c:formatCode>General</c:formatCode>
                <c:ptCount val="4"/>
                <c:pt idx="0">
                  <c:v>667</c:v>
                </c:pt>
                <c:pt idx="1">
                  <c:v>4</c:v>
                </c:pt>
                <c:pt idx="2">
                  <c:v>22</c:v>
                </c:pt>
              </c:numCache>
            </c:numRef>
          </c:val>
          <c:extLst xmlns:c16r2="http://schemas.microsoft.com/office/drawing/2015/06/chart">
            <c:ext xmlns:c16="http://schemas.microsoft.com/office/drawing/2014/chart" uri="{C3380CC4-5D6E-409C-BE32-E72D297353CC}">
              <c16:uniqueId val="{00000002-A0E7-46A2-B266-6EB4C01A2D5F}"/>
            </c:ext>
          </c:extLst>
        </c:ser>
        <c:ser>
          <c:idx val="3"/>
          <c:order val="3"/>
          <c:tx>
            <c:strRef>
              <c:f>Sheet4!$A$5</c:f>
              <c:strCache>
                <c:ptCount val="1"/>
                <c:pt idx="0">
                  <c:v>Tacka d)</c:v>
                </c:pt>
              </c:strCache>
            </c:strRef>
          </c:tx>
          <c:spPr>
            <a:solidFill>
              <a:schemeClr val="accent4"/>
            </a:solidFill>
            <a:ln>
              <a:noFill/>
            </a:ln>
            <a:effectLst/>
            <a:sp3d/>
          </c:spPr>
          <c:invertIfNegative val="0"/>
          <c:cat>
            <c:strRef>
              <c:f>Sheet4!$B$1:$E$1</c:f>
              <c:strCache>
                <c:ptCount val="4"/>
                <c:pt idx="0">
                  <c:v>Clan 21 stav (1) </c:v>
                </c:pt>
                <c:pt idx="1">
                  <c:v>Clan 22. stav (1)</c:v>
                </c:pt>
                <c:pt idx="2">
                  <c:v>Clan 23. stav (1)</c:v>
                </c:pt>
                <c:pt idx="3">
                  <c:v>Clan 24. stav (1)</c:v>
                </c:pt>
              </c:strCache>
            </c:strRef>
          </c:cat>
          <c:val>
            <c:numRef>
              <c:f>Sheet4!$B$5:$E$5</c:f>
              <c:numCache>
                <c:formatCode>General</c:formatCode>
                <c:ptCount val="4"/>
                <c:pt idx="0">
                  <c:v>276</c:v>
                </c:pt>
                <c:pt idx="1">
                  <c:v>2</c:v>
                </c:pt>
              </c:numCache>
            </c:numRef>
          </c:val>
          <c:extLst xmlns:c16r2="http://schemas.microsoft.com/office/drawing/2015/06/chart">
            <c:ext xmlns:c16="http://schemas.microsoft.com/office/drawing/2014/chart" uri="{C3380CC4-5D6E-409C-BE32-E72D297353CC}">
              <c16:uniqueId val="{00000003-A0E7-46A2-B266-6EB4C01A2D5F}"/>
            </c:ext>
          </c:extLst>
        </c:ser>
        <c:dLbls>
          <c:showLegendKey val="0"/>
          <c:showVal val="0"/>
          <c:showCatName val="0"/>
          <c:showSerName val="0"/>
          <c:showPercent val="0"/>
          <c:showBubbleSize val="0"/>
        </c:dLbls>
        <c:gapWidth val="150"/>
        <c:shape val="box"/>
        <c:axId val="326539336"/>
        <c:axId val="326540904"/>
        <c:axId val="0"/>
      </c:bar3DChart>
      <c:catAx>
        <c:axId val="326539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6540904"/>
        <c:crosses val="autoZero"/>
        <c:auto val="1"/>
        <c:lblAlgn val="ctr"/>
        <c:lblOffset val="100"/>
        <c:noMultiLvlLbl val="0"/>
      </c:catAx>
      <c:valAx>
        <c:axId val="326540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6539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BA"/>
              <a:t>Прекршајни поступци покренути у 2019. години</a:t>
            </a:r>
            <a:endParaRPr lang="bs-Latn-BA"/>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Sheet3!$A$1:$A$5</c:f>
              <c:strCache>
                <c:ptCount val="5"/>
                <c:pt idx="0">
                  <c:v>Pokrenuti prekršajni postupci u 2019</c:v>
                </c:pt>
                <c:pt idx="1">
                  <c:v>Pravosnažnih odluka </c:v>
                </c:pt>
                <c:pt idx="2">
                  <c:v>Nepravosnažnih odluka </c:v>
                </c:pt>
                <c:pt idx="3">
                  <c:v>U toku</c:v>
                </c:pt>
                <c:pt idx="4">
                  <c:v>Nije procesuirano</c:v>
                </c:pt>
              </c:strCache>
            </c:strRef>
          </c:cat>
          <c:val>
            <c:numRef>
              <c:f>Sheet3!$B$1:$B$5</c:f>
              <c:numCache>
                <c:formatCode>General</c:formatCode>
                <c:ptCount val="5"/>
                <c:pt idx="0">
                  <c:v>26</c:v>
                </c:pt>
                <c:pt idx="1">
                  <c:v>6</c:v>
                </c:pt>
                <c:pt idx="2">
                  <c:v>5</c:v>
                </c:pt>
                <c:pt idx="3">
                  <c:v>4</c:v>
                </c:pt>
                <c:pt idx="4">
                  <c:v>11</c:v>
                </c:pt>
              </c:numCache>
            </c:numRef>
          </c:val>
          <c:extLst xmlns:c16r2="http://schemas.microsoft.com/office/drawing/2015/06/chart">
            <c:ext xmlns:c16="http://schemas.microsoft.com/office/drawing/2014/chart" uri="{C3380CC4-5D6E-409C-BE32-E72D297353CC}">
              <c16:uniqueId val="{00000000-A106-4D8A-A372-2BBBC23C09EF}"/>
            </c:ext>
          </c:extLst>
        </c:ser>
        <c:dLbls>
          <c:showLegendKey val="0"/>
          <c:showVal val="0"/>
          <c:showCatName val="0"/>
          <c:showSerName val="0"/>
          <c:showPercent val="0"/>
          <c:showBubbleSize val="0"/>
        </c:dLbls>
        <c:gapWidth val="150"/>
        <c:shape val="box"/>
        <c:axId val="326539728"/>
        <c:axId val="326535024"/>
        <c:axId val="0"/>
      </c:bar3DChart>
      <c:catAx>
        <c:axId val="326539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6535024"/>
        <c:crosses val="autoZero"/>
        <c:auto val="1"/>
        <c:lblAlgn val="ctr"/>
        <c:lblOffset val="100"/>
        <c:noMultiLvlLbl val="0"/>
      </c:catAx>
      <c:valAx>
        <c:axId val="326535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6539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85924-8AF2-4B64-8953-84036D8B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4350</Words>
  <Characters>24801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Djinita Foco</dc:creator>
  <cp:keywords/>
  <dc:description/>
  <cp:lastModifiedBy>Djinita Foco</cp:lastModifiedBy>
  <cp:revision>2</cp:revision>
  <dcterms:created xsi:type="dcterms:W3CDTF">2021-03-19T10:49:00Z</dcterms:created>
  <dcterms:modified xsi:type="dcterms:W3CDTF">2021-03-19T10:49:00Z</dcterms:modified>
</cp:coreProperties>
</file>