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B71" w:rsidRDefault="00A52B71" w:rsidP="00A52B71">
      <w:bookmarkStart w:id="0" w:name="_GoBack"/>
      <w:bookmarkEnd w:id="0"/>
    </w:p>
    <w:p w:rsidR="004E2542" w:rsidRDefault="004E2542" w:rsidP="00A52B71"/>
    <w:p w:rsidR="004E2542" w:rsidRDefault="004E2542" w:rsidP="00A52B71"/>
    <w:p w:rsidR="004E2542" w:rsidRDefault="004E2542" w:rsidP="00A52B71"/>
    <w:p w:rsidR="004E2542" w:rsidRDefault="004E2542" w:rsidP="00A52B71"/>
    <w:p w:rsidR="004E2542" w:rsidRDefault="004E2542" w:rsidP="00A52B71"/>
    <w:p w:rsidR="004E2542" w:rsidRDefault="004E2542" w:rsidP="00A52B71"/>
    <w:p w:rsidR="00A52B71" w:rsidRDefault="00A52B71" w:rsidP="00A52B71"/>
    <w:p w:rsidR="00A52B71" w:rsidRDefault="00A52B71" w:rsidP="00A52B71"/>
    <w:p w:rsidR="00A52B71" w:rsidRDefault="00A52B71" w:rsidP="00A52B71"/>
    <w:p w:rsidR="00A52B71" w:rsidRDefault="00A52B71" w:rsidP="00A52B71"/>
    <w:p w:rsidR="00161173" w:rsidRDefault="00161173" w:rsidP="00A52B71">
      <w:pPr>
        <w:jc w:val="center"/>
        <w:rPr>
          <w:b/>
          <w:sz w:val="28"/>
          <w:szCs w:val="28"/>
        </w:rPr>
      </w:pPr>
    </w:p>
    <w:p w:rsidR="00161173" w:rsidRDefault="00161173" w:rsidP="00A52B71">
      <w:pPr>
        <w:jc w:val="center"/>
        <w:rPr>
          <w:b/>
          <w:sz w:val="28"/>
          <w:szCs w:val="28"/>
        </w:rPr>
      </w:pPr>
    </w:p>
    <w:p w:rsidR="002B3FA8" w:rsidRDefault="002B3FA8" w:rsidP="00A52B71">
      <w:pPr>
        <w:jc w:val="center"/>
        <w:rPr>
          <w:b/>
          <w:sz w:val="28"/>
          <w:szCs w:val="28"/>
        </w:rPr>
      </w:pPr>
    </w:p>
    <w:p w:rsidR="00A52B71" w:rsidRPr="00A52B71" w:rsidRDefault="00A52B71" w:rsidP="00A52B71">
      <w:pPr>
        <w:jc w:val="center"/>
        <w:rPr>
          <w:b/>
          <w:sz w:val="28"/>
          <w:szCs w:val="28"/>
        </w:rPr>
      </w:pPr>
      <w:r w:rsidRPr="00A52B71">
        <w:rPr>
          <w:b/>
          <w:sz w:val="28"/>
          <w:szCs w:val="28"/>
        </w:rPr>
        <w:t>IZVJEŠTAJ O PRAĆENJU POSTUPAKA JAVNIH NABAVKI ZA 201</w:t>
      </w:r>
      <w:r w:rsidR="00CD069B">
        <w:rPr>
          <w:b/>
          <w:sz w:val="28"/>
          <w:szCs w:val="28"/>
        </w:rPr>
        <w:t>9</w:t>
      </w:r>
      <w:r w:rsidRPr="00A52B71">
        <w:rPr>
          <w:b/>
          <w:sz w:val="28"/>
          <w:szCs w:val="28"/>
        </w:rPr>
        <w:t>.GODINU</w:t>
      </w: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62116A" w:rsidP="00A52B71">
      <w:pPr>
        <w:jc w:val="center"/>
        <w:rPr>
          <w:b/>
          <w:sz w:val="24"/>
          <w:szCs w:val="24"/>
        </w:rPr>
      </w:pPr>
      <w:r>
        <w:rPr>
          <w:b/>
          <w:sz w:val="24"/>
          <w:szCs w:val="24"/>
        </w:rPr>
        <w:t>Maj</w:t>
      </w:r>
      <w:r w:rsidR="000E2900">
        <w:rPr>
          <w:b/>
          <w:sz w:val="24"/>
          <w:szCs w:val="24"/>
        </w:rPr>
        <w:t xml:space="preserve"> </w:t>
      </w:r>
      <w:r w:rsidR="00A52B71">
        <w:rPr>
          <w:b/>
          <w:sz w:val="24"/>
          <w:szCs w:val="24"/>
        </w:rPr>
        <w:t>20</w:t>
      </w:r>
      <w:r w:rsidR="00CD069B">
        <w:rPr>
          <w:b/>
          <w:sz w:val="24"/>
          <w:szCs w:val="24"/>
        </w:rPr>
        <w:t>20</w:t>
      </w:r>
      <w:r w:rsidR="00A52B71">
        <w:rPr>
          <w:b/>
          <w:sz w:val="24"/>
          <w:szCs w:val="24"/>
        </w:rPr>
        <w:t>.godine</w:t>
      </w:r>
    </w:p>
    <w:p w:rsidR="00FB09C4" w:rsidRDefault="00FB09C4" w:rsidP="00A52B71">
      <w:pPr>
        <w:jc w:val="center"/>
        <w:rPr>
          <w:b/>
          <w:sz w:val="24"/>
          <w:szCs w:val="24"/>
        </w:rPr>
      </w:pPr>
    </w:p>
    <w:p w:rsidR="00DA68CF" w:rsidRDefault="00DA68CF" w:rsidP="00A52B71">
      <w:pPr>
        <w:jc w:val="center"/>
        <w:rPr>
          <w:b/>
          <w:sz w:val="24"/>
          <w:szCs w:val="24"/>
        </w:rPr>
      </w:pPr>
    </w:p>
    <w:p w:rsidR="00FB09C4" w:rsidRDefault="00FB09C4" w:rsidP="00A52B71">
      <w:pPr>
        <w:jc w:val="center"/>
        <w:rPr>
          <w:b/>
          <w:sz w:val="24"/>
          <w:szCs w:val="24"/>
        </w:rPr>
      </w:pPr>
      <w:r>
        <w:rPr>
          <w:b/>
          <w:sz w:val="24"/>
          <w:szCs w:val="24"/>
        </w:rPr>
        <w:t>Sadržaj</w:t>
      </w:r>
    </w:p>
    <w:p w:rsidR="00FB09C4" w:rsidRDefault="00FB09C4" w:rsidP="00FB09C4">
      <w:pPr>
        <w:pStyle w:val="ListParagraph"/>
        <w:numPr>
          <w:ilvl w:val="0"/>
          <w:numId w:val="1"/>
        </w:numPr>
        <w:rPr>
          <w:b/>
          <w:sz w:val="24"/>
          <w:szCs w:val="24"/>
        </w:rPr>
      </w:pPr>
      <w:r>
        <w:rPr>
          <w:b/>
          <w:sz w:val="24"/>
          <w:szCs w:val="24"/>
        </w:rPr>
        <w:t xml:space="preserve">Uvod </w:t>
      </w:r>
    </w:p>
    <w:p w:rsidR="00FB09C4" w:rsidRDefault="00FB09C4" w:rsidP="00FB09C4">
      <w:pPr>
        <w:pStyle w:val="ListParagraph"/>
        <w:numPr>
          <w:ilvl w:val="0"/>
          <w:numId w:val="1"/>
        </w:numPr>
        <w:rPr>
          <w:b/>
          <w:sz w:val="24"/>
          <w:szCs w:val="24"/>
        </w:rPr>
      </w:pPr>
      <w:r>
        <w:rPr>
          <w:b/>
          <w:sz w:val="24"/>
          <w:szCs w:val="24"/>
        </w:rPr>
        <w:t>Pravni osnov za praćenje</w:t>
      </w:r>
    </w:p>
    <w:p w:rsidR="00FB5968" w:rsidRDefault="00FB5968" w:rsidP="00FB5968">
      <w:pPr>
        <w:pStyle w:val="ListParagraph"/>
        <w:numPr>
          <w:ilvl w:val="0"/>
          <w:numId w:val="1"/>
        </w:numPr>
        <w:rPr>
          <w:b/>
          <w:sz w:val="24"/>
          <w:szCs w:val="24"/>
        </w:rPr>
      </w:pPr>
      <w:r>
        <w:rPr>
          <w:b/>
          <w:sz w:val="24"/>
          <w:szCs w:val="24"/>
        </w:rPr>
        <w:t xml:space="preserve">Pokazatelji praćenja postupaka javnih nabavki </w:t>
      </w:r>
    </w:p>
    <w:p w:rsidR="00CD069B" w:rsidRDefault="00CD069B" w:rsidP="00CD069B">
      <w:pPr>
        <w:pStyle w:val="ListParagraph"/>
        <w:numPr>
          <w:ilvl w:val="0"/>
          <w:numId w:val="1"/>
        </w:numPr>
        <w:rPr>
          <w:b/>
          <w:sz w:val="24"/>
          <w:szCs w:val="24"/>
        </w:rPr>
      </w:pPr>
      <w:r>
        <w:rPr>
          <w:b/>
          <w:sz w:val="24"/>
          <w:szCs w:val="24"/>
        </w:rPr>
        <w:t>Pregovarački postupci bez objave obavještenja</w:t>
      </w:r>
      <w:r w:rsidR="00FB5968">
        <w:rPr>
          <w:b/>
          <w:sz w:val="24"/>
          <w:szCs w:val="24"/>
        </w:rPr>
        <w:t xml:space="preserve"> </w:t>
      </w:r>
    </w:p>
    <w:p w:rsidR="00FB5968" w:rsidRDefault="00FB5968" w:rsidP="00FB5968">
      <w:pPr>
        <w:pStyle w:val="ListParagraph"/>
        <w:numPr>
          <w:ilvl w:val="0"/>
          <w:numId w:val="1"/>
        </w:numPr>
        <w:rPr>
          <w:b/>
          <w:sz w:val="24"/>
          <w:szCs w:val="24"/>
        </w:rPr>
      </w:pPr>
      <w:r>
        <w:rPr>
          <w:b/>
          <w:sz w:val="24"/>
          <w:szCs w:val="24"/>
        </w:rPr>
        <w:t xml:space="preserve">Prekršajni postupci </w:t>
      </w:r>
    </w:p>
    <w:p w:rsidR="00FB09C4" w:rsidRDefault="00FB09C4" w:rsidP="00FB09C4">
      <w:pPr>
        <w:pStyle w:val="ListParagraph"/>
        <w:numPr>
          <w:ilvl w:val="0"/>
          <w:numId w:val="1"/>
        </w:numPr>
        <w:rPr>
          <w:b/>
          <w:sz w:val="24"/>
          <w:szCs w:val="24"/>
        </w:rPr>
      </w:pPr>
      <w:r>
        <w:rPr>
          <w:b/>
          <w:sz w:val="24"/>
          <w:szCs w:val="24"/>
        </w:rPr>
        <w:t>Praćenje planiranja i pripreme postupaka javnih nabavki</w:t>
      </w:r>
    </w:p>
    <w:p w:rsidR="00470622" w:rsidRDefault="00FB5968" w:rsidP="00FB09C4">
      <w:pPr>
        <w:pStyle w:val="ListParagraph"/>
        <w:numPr>
          <w:ilvl w:val="0"/>
          <w:numId w:val="1"/>
        </w:numPr>
        <w:rPr>
          <w:b/>
          <w:sz w:val="24"/>
          <w:szCs w:val="24"/>
        </w:rPr>
      </w:pPr>
      <w:r>
        <w:rPr>
          <w:b/>
          <w:sz w:val="24"/>
          <w:szCs w:val="24"/>
        </w:rPr>
        <w:t>Izvještaji</w:t>
      </w:r>
      <w:r w:rsidR="00470622">
        <w:rPr>
          <w:b/>
          <w:sz w:val="24"/>
          <w:szCs w:val="24"/>
        </w:rPr>
        <w:t xml:space="preserve"> ureda za reviziju u BiH</w:t>
      </w:r>
    </w:p>
    <w:p w:rsidR="00CB5FF0" w:rsidRDefault="00CB5FF0" w:rsidP="00FB09C4">
      <w:pPr>
        <w:pStyle w:val="ListParagraph"/>
        <w:numPr>
          <w:ilvl w:val="0"/>
          <w:numId w:val="1"/>
        </w:numPr>
        <w:rPr>
          <w:b/>
          <w:sz w:val="24"/>
          <w:szCs w:val="24"/>
        </w:rPr>
      </w:pPr>
      <w:r>
        <w:rPr>
          <w:b/>
          <w:sz w:val="24"/>
          <w:szCs w:val="24"/>
        </w:rPr>
        <w:t>Aneksi</w:t>
      </w:r>
    </w:p>
    <w:p w:rsidR="00CB5FF0" w:rsidRPr="00CB5FF0" w:rsidRDefault="00CB5FF0" w:rsidP="00CB5FF0">
      <w:pPr>
        <w:rPr>
          <w:b/>
          <w:sz w:val="24"/>
          <w:szCs w:val="24"/>
        </w:rPr>
      </w:pPr>
    </w:p>
    <w:p w:rsidR="00FB09C4" w:rsidRDefault="00FB09C4"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7F48A2" w:rsidRDefault="007F48A2" w:rsidP="00CB5FF0">
      <w:pPr>
        <w:rPr>
          <w:b/>
          <w:sz w:val="24"/>
          <w:szCs w:val="24"/>
        </w:rPr>
      </w:pPr>
    </w:p>
    <w:p w:rsidR="007F48A2" w:rsidRDefault="007F48A2" w:rsidP="00CB5FF0">
      <w:pPr>
        <w:rPr>
          <w:b/>
          <w:sz w:val="24"/>
          <w:szCs w:val="24"/>
        </w:rPr>
      </w:pPr>
    </w:p>
    <w:p w:rsidR="001A4588" w:rsidRPr="0035194A" w:rsidRDefault="004E2542" w:rsidP="00E55DBF">
      <w:pPr>
        <w:pStyle w:val="ListParagraph"/>
        <w:numPr>
          <w:ilvl w:val="0"/>
          <w:numId w:val="2"/>
        </w:numPr>
        <w:rPr>
          <w:b/>
          <w:sz w:val="24"/>
          <w:szCs w:val="24"/>
        </w:rPr>
      </w:pPr>
      <w:r>
        <w:rPr>
          <w:b/>
          <w:sz w:val="24"/>
          <w:szCs w:val="24"/>
        </w:rPr>
        <w:lastRenderedPageBreak/>
        <w:t>U</w:t>
      </w:r>
      <w:r w:rsidR="001A4588" w:rsidRPr="0035194A">
        <w:rPr>
          <w:b/>
          <w:sz w:val="24"/>
          <w:szCs w:val="24"/>
        </w:rPr>
        <w:t>VOD</w:t>
      </w:r>
    </w:p>
    <w:p w:rsidR="00B00D9E" w:rsidRPr="00335CF5" w:rsidRDefault="00B00D9E" w:rsidP="00B00D9E">
      <w:pPr>
        <w:spacing w:after="0" w:line="240" w:lineRule="auto"/>
        <w:jc w:val="both"/>
      </w:pPr>
      <w:r w:rsidRPr="00335CF5">
        <w:t>Praćenje postupaka javnih nabavki je jedan od pokazatelja fukcionisanja cjelokupnog sistema, ne samo sa aspekta primjene procedura javnih nabavki, već cjelokupnog sistema, koji ovisi  od niza drugih propisa i direkno ili indirektn</w:t>
      </w:r>
      <w:r w:rsidR="0062116A">
        <w:t>o</w:t>
      </w:r>
      <w:r w:rsidRPr="00335CF5">
        <w:t xml:space="preserve"> imaju utjecaj na sistem javnih nabavki u Bosni i Hrcegovini.</w:t>
      </w:r>
    </w:p>
    <w:p w:rsidR="00B00D9E" w:rsidRPr="00335CF5" w:rsidRDefault="00B00D9E" w:rsidP="00B00D9E">
      <w:pPr>
        <w:spacing w:after="0" w:line="240" w:lineRule="auto"/>
        <w:jc w:val="both"/>
      </w:pPr>
    </w:p>
    <w:p w:rsidR="00B00D9E" w:rsidRPr="00335CF5" w:rsidRDefault="00B00D9E" w:rsidP="00B00D9E">
      <w:pPr>
        <w:spacing w:after="0" w:line="240" w:lineRule="auto"/>
        <w:jc w:val="both"/>
      </w:pPr>
      <w:r w:rsidRPr="00335CF5">
        <w:t>Javne nabavke, kao visoko decentralizirani sistem je odgovornost „delegirao“ na ugovorne organe koji su obavezni primjenjivati propise o javnim nabavkama. Upravo taj v</w:t>
      </w:r>
      <w:r w:rsidR="002205E1">
        <w:t>i</w:t>
      </w:r>
      <w:r w:rsidRPr="00335CF5">
        <w:t>soki stepen decentraliziranosti sistema ukazuj</w:t>
      </w:r>
      <w:r w:rsidR="0062116A">
        <w:t>e</w:t>
      </w:r>
      <w:r w:rsidRPr="00335CF5">
        <w:t xml:space="preserve"> na složenost praćenja istog posebno s aspekta utjecaja drugih propisa na sistem javnih nabavki.</w:t>
      </w:r>
    </w:p>
    <w:p w:rsidR="00B00D9E" w:rsidRPr="00335CF5" w:rsidRDefault="00B00D9E" w:rsidP="00B00D9E">
      <w:pPr>
        <w:spacing w:after="0" w:line="240" w:lineRule="auto"/>
        <w:jc w:val="both"/>
      </w:pPr>
    </w:p>
    <w:p w:rsidR="001A4588" w:rsidRPr="00335CF5" w:rsidRDefault="0015370E" w:rsidP="00B00D9E">
      <w:pPr>
        <w:spacing w:after="0" w:line="240" w:lineRule="auto"/>
        <w:jc w:val="both"/>
      </w:pPr>
      <w:r w:rsidRPr="00335CF5">
        <w:t>„Praćenje (monitoring) javnih nabavki je svako sistematsko posmatranj</w:t>
      </w:r>
      <w:r w:rsidR="00B00D9E" w:rsidRPr="00335CF5">
        <w:t>e</w:t>
      </w:r>
      <w:r w:rsidRPr="00335CF5">
        <w:t xml:space="preserve"> sist</w:t>
      </w:r>
      <w:r w:rsidR="00B00D9E" w:rsidRPr="00335CF5">
        <w:t>e</w:t>
      </w:r>
      <w:r w:rsidRPr="00335CF5">
        <w:t>ma javnih nabavki, koje se provodi na jedan koherentan način u cilju procjenjivanja kako sistem funkcionira i kako se razvija tokom vremena, da bi se ustanovilo da li je postignuto željeno (ciljno) satnje koje su definirali kreatori politika.“</w:t>
      </w:r>
      <w:r w:rsidRPr="00335CF5">
        <w:rPr>
          <w:rStyle w:val="FootnoteReference"/>
        </w:rPr>
        <w:footnoteReference w:id="1"/>
      </w:r>
    </w:p>
    <w:p w:rsidR="00B00D9E" w:rsidRPr="00335CF5" w:rsidRDefault="00B00D9E" w:rsidP="00B00D9E">
      <w:pPr>
        <w:spacing w:after="0" w:line="240" w:lineRule="auto"/>
        <w:jc w:val="both"/>
      </w:pPr>
    </w:p>
    <w:p w:rsidR="00B00D9E" w:rsidRPr="00335CF5" w:rsidRDefault="00B00D9E" w:rsidP="00B00D9E">
      <w:pPr>
        <w:spacing w:after="0" w:line="240" w:lineRule="auto"/>
        <w:jc w:val="both"/>
      </w:pPr>
      <w:r w:rsidRPr="00335CF5">
        <w:t>U</w:t>
      </w:r>
      <w:r w:rsidR="00CD069B">
        <w:t>p</w:t>
      </w:r>
      <w:r w:rsidRPr="00335CF5">
        <w:t xml:space="preserve">ravo iz definicije koju je dala SIGMA proizilazi i osnovni cilj praćenja sistema javnih nabavki, a to je da </w:t>
      </w:r>
      <w:r w:rsidR="002205E1">
        <w:t xml:space="preserve">se </w:t>
      </w:r>
      <w:r w:rsidRPr="00335CF5">
        <w:t xml:space="preserve">kroz praćenje izvrši uvid u probleme koje sistem ima, lošu praksu u primjeni propisa, kao i zloupotrebe koje se dešavaju u sistemu, i koje treba korigirati, odnosno inicirati razvijanje politika, te definirati ciljeve koji će ići u pravcu osnovnog principa „vrijednost za novac“. </w:t>
      </w:r>
    </w:p>
    <w:p w:rsidR="00B00D9E" w:rsidRPr="00335CF5" w:rsidRDefault="00B00D9E" w:rsidP="00B00D9E">
      <w:pPr>
        <w:spacing w:after="0" w:line="240" w:lineRule="auto"/>
        <w:jc w:val="both"/>
      </w:pPr>
    </w:p>
    <w:p w:rsidR="00B00D9E" w:rsidRPr="00335CF5" w:rsidRDefault="00B00D9E" w:rsidP="00B00D9E">
      <w:pPr>
        <w:spacing w:after="0" w:line="240" w:lineRule="auto"/>
        <w:jc w:val="both"/>
      </w:pPr>
      <w:r w:rsidRPr="00335CF5">
        <w:t xml:space="preserve">U definisanju politika sistema javnih nabavki, bitno je napraviti razliku </w:t>
      </w:r>
      <w:r w:rsidR="00E55DBF" w:rsidRPr="00335CF5">
        <w:t xml:space="preserve">između „praćenja“ sistema i „nadzora“. Jer nadzor može pružiti određene informacije , ali sam po sebi ne može utvrditi da li su ciljevi ispunjeni i da li su standardi ostvareni. </w:t>
      </w:r>
    </w:p>
    <w:p w:rsidR="00E55DBF" w:rsidRPr="00335CF5" w:rsidRDefault="00E55DBF" w:rsidP="00B00D9E">
      <w:pPr>
        <w:spacing w:after="0" w:line="240" w:lineRule="auto"/>
        <w:jc w:val="both"/>
      </w:pPr>
    </w:p>
    <w:p w:rsidR="00E55DBF" w:rsidRPr="0035194A" w:rsidRDefault="005B1758" w:rsidP="005B1758">
      <w:pPr>
        <w:pStyle w:val="ListParagraph"/>
        <w:numPr>
          <w:ilvl w:val="0"/>
          <w:numId w:val="2"/>
        </w:numPr>
        <w:spacing w:after="0" w:line="240" w:lineRule="auto"/>
        <w:jc w:val="both"/>
        <w:rPr>
          <w:b/>
          <w:sz w:val="24"/>
          <w:szCs w:val="24"/>
        </w:rPr>
      </w:pPr>
      <w:r w:rsidRPr="0035194A">
        <w:rPr>
          <w:b/>
          <w:sz w:val="24"/>
          <w:szCs w:val="24"/>
        </w:rPr>
        <w:t>Praćenje sistema javnih nabavki</w:t>
      </w:r>
    </w:p>
    <w:p w:rsidR="005B1758" w:rsidRPr="00335CF5" w:rsidRDefault="005B1758" w:rsidP="005B1758">
      <w:pPr>
        <w:pStyle w:val="ListParagraph"/>
        <w:spacing w:after="0" w:line="240" w:lineRule="auto"/>
        <w:jc w:val="both"/>
        <w:rPr>
          <w:b/>
        </w:rPr>
      </w:pPr>
    </w:p>
    <w:p w:rsidR="005B1758" w:rsidRPr="00335CF5" w:rsidRDefault="00290DBE" w:rsidP="00E55DBF">
      <w:pPr>
        <w:spacing w:after="0" w:line="240" w:lineRule="auto"/>
        <w:jc w:val="both"/>
      </w:pPr>
      <w:r>
        <w:t>Praćenje sistema javnih nabavki u Bosni i Hercegovini je usaglašeno sa č</w:t>
      </w:r>
      <w:r w:rsidR="005B1758" w:rsidRPr="00335CF5">
        <w:t>lanom 83. Direktive EU broj 2014/24</w:t>
      </w:r>
      <w:r>
        <w:t xml:space="preserve">, kojim je </w:t>
      </w:r>
      <w:r w:rsidR="005B1758" w:rsidRPr="00335CF5">
        <w:t>definisan sistem nadzora država članica</w:t>
      </w:r>
      <w:r>
        <w:t>.</w:t>
      </w:r>
    </w:p>
    <w:p w:rsidR="005B1758" w:rsidRPr="00335CF5" w:rsidRDefault="005B1758" w:rsidP="00E55DBF">
      <w:pPr>
        <w:spacing w:after="0" w:line="240" w:lineRule="auto"/>
        <w:jc w:val="both"/>
      </w:pPr>
    </w:p>
    <w:p w:rsidR="005B1758" w:rsidRPr="00335CF5" w:rsidRDefault="005B1758" w:rsidP="005B1758">
      <w:pPr>
        <w:spacing w:after="0" w:line="240" w:lineRule="auto"/>
        <w:jc w:val="both"/>
        <w:rPr>
          <w:rFonts w:cs="Times New Roman"/>
        </w:rPr>
      </w:pPr>
      <w:r w:rsidRPr="00335CF5">
        <w:rPr>
          <w:rFonts w:cs="Times New Roman"/>
          <w:lang w:val="sr-Cyrl-BA" w:eastAsia="hr-HR"/>
        </w:rPr>
        <w:t xml:space="preserve">U skladu sa </w:t>
      </w:r>
      <w:r w:rsidRPr="00335CF5">
        <w:rPr>
          <w:rFonts w:cs="Times New Roman"/>
          <w:lang w:val="hr-HR" w:eastAsia="hr-HR"/>
        </w:rPr>
        <w:t>član</w:t>
      </w:r>
      <w:r w:rsidRPr="00335CF5">
        <w:rPr>
          <w:rFonts w:cs="Times New Roman"/>
          <w:lang w:val="sr-Cyrl-BA" w:eastAsia="hr-HR"/>
        </w:rPr>
        <w:t>om</w:t>
      </w:r>
      <w:r w:rsidRPr="00335CF5">
        <w:rPr>
          <w:rFonts w:cs="Times New Roman"/>
          <w:lang w:val="hr-HR" w:eastAsia="hr-HR"/>
        </w:rPr>
        <w:t xml:space="preserve"> 92. stav (3) t</w:t>
      </w:r>
      <w:r w:rsidRPr="00335CF5">
        <w:rPr>
          <w:rFonts w:cs="Times New Roman"/>
          <w:lang w:val="sr-Cyrl-BA" w:eastAsia="hr-HR"/>
        </w:rPr>
        <w:t>a</w:t>
      </w:r>
      <w:r w:rsidRPr="00335CF5">
        <w:rPr>
          <w:rFonts w:cs="Times New Roman"/>
          <w:lang w:val="hr-HR" w:eastAsia="hr-HR"/>
        </w:rPr>
        <w:t>čka e) Zakona o javnim nabav</w:t>
      </w:r>
      <w:r w:rsidRPr="00335CF5">
        <w:rPr>
          <w:rFonts w:cs="Times New Roman"/>
          <w:lang w:val="sr-Cyrl-BA" w:eastAsia="hr-HR"/>
        </w:rPr>
        <w:t>k</w:t>
      </w:r>
      <w:r w:rsidRPr="00335CF5">
        <w:rPr>
          <w:rFonts w:cs="Times New Roman"/>
          <w:lang w:val="hr-HR" w:eastAsia="hr-HR"/>
        </w:rPr>
        <w:t xml:space="preserve">ama </w:t>
      </w:r>
      <w:r w:rsidRPr="00335CF5">
        <w:rPr>
          <w:rFonts w:cs="Times New Roman"/>
          <w:bCs/>
        </w:rPr>
        <w:t>(''Službeni glasnik BiH'', broj: 39/14),</w:t>
      </w:r>
      <w:r w:rsidRPr="00335CF5">
        <w:rPr>
          <w:rFonts w:cs="Times New Roman"/>
          <w:lang w:val="hr-HR" w:eastAsia="hr-HR"/>
        </w:rPr>
        <w:t xml:space="preserve"> (u daljem tekstu: Zakon), nadležnost Agencije za javne nabav</w:t>
      </w:r>
      <w:r w:rsidRPr="00335CF5">
        <w:rPr>
          <w:rFonts w:cs="Times New Roman"/>
          <w:lang w:val="sr-Cyrl-BA" w:eastAsia="hr-HR"/>
        </w:rPr>
        <w:t>k</w:t>
      </w:r>
      <w:r w:rsidRPr="00335CF5">
        <w:rPr>
          <w:rFonts w:cs="Times New Roman"/>
          <w:lang w:val="hr-HR" w:eastAsia="hr-HR"/>
        </w:rPr>
        <w:t>e BiH (u daljem tekstu: Agencija) je uspostav</w:t>
      </w:r>
      <w:r w:rsidRPr="00335CF5">
        <w:rPr>
          <w:rFonts w:cs="Times New Roman"/>
          <w:lang w:val="sr-Cyrl-BA" w:eastAsia="hr-HR"/>
        </w:rPr>
        <w:t>ljanje</w:t>
      </w:r>
      <w:r w:rsidRPr="00335CF5">
        <w:rPr>
          <w:rFonts w:cs="Times New Roman"/>
          <w:lang w:val="hr-HR" w:eastAsia="hr-HR"/>
        </w:rPr>
        <w:t xml:space="preserve"> </w:t>
      </w:r>
      <w:r w:rsidRPr="00335CF5">
        <w:rPr>
          <w:rFonts w:cs="Times New Roman"/>
          <w:lang w:val="sr-Cyrl-BA" w:eastAsia="hr-HR"/>
        </w:rPr>
        <w:t>sistema</w:t>
      </w:r>
      <w:r w:rsidRPr="00335CF5">
        <w:rPr>
          <w:rFonts w:cs="Times New Roman"/>
          <w:lang w:val="hr-HR" w:eastAsia="hr-HR"/>
        </w:rPr>
        <w:t xml:space="preserve"> za praćenje postupaka kojeg provode ugovorni organi za nabavku robe, usluga i radova, s ciljem edukacije i otklanjanja uočenih nepravilnosti u pojedinačnim postupcima javnih nabavki</w:t>
      </w:r>
      <w:r w:rsidRPr="00335CF5">
        <w:rPr>
          <w:rFonts w:cs="Times New Roman"/>
          <w:b/>
          <w:lang w:val="hr-HR" w:eastAsia="hr-HR"/>
        </w:rPr>
        <w:t xml:space="preserve">. </w:t>
      </w:r>
      <w:r w:rsidRPr="00335CF5">
        <w:rPr>
          <w:rFonts w:cs="Times New Roman"/>
        </w:rPr>
        <w:t>Primjenom Pravilnika o praćenju postupaka javne nabavke</w:t>
      </w:r>
      <w:r w:rsidRPr="00335CF5">
        <w:rPr>
          <w:rFonts w:cs="Times New Roman"/>
          <w:b/>
        </w:rPr>
        <w:t xml:space="preserve"> </w:t>
      </w:r>
      <w:r w:rsidRPr="00335CF5">
        <w:rPr>
          <w:rFonts w:cs="Times New Roman"/>
        </w:rPr>
        <w:t xml:space="preserve">(„Službeni glasnik BiH“, broj: 72/16), sistem praćenja primjene Zakona i podzakonskih akata u Bosni i Hercegovini  je ispitivanje usklađenosti pojedinačnih postupaka javne nabavke koje provode ugovorni organi. </w:t>
      </w:r>
    </w:p>
    <w:p w:rsidR="005B1758" w:rsidRPr="00335CF5" w:rsidRDefault="005B1758" w:rsidP="005B1758">
      <w:pPr>
        <w:spacing w:after="0" w:line="240" w:lineRule="auto"/>
        <w:jc w:val="both"/>
      </w:pPr>
    </w:p>
    <w:p w:rsidR="005B1758" w:rsidRPr="00335CF5" w:rsidRDefault="005B1758" w:rsidP="005B1758">
      <w:pPr>
        <w:spacing w:after="0" w:line="240" w:lineRule="auto"/>
        <w:jc w:val="both"/>
      </w:pPr>
      <w:r w:rsidRPr="00335CF5">
        <w:t>Osnovi cilj praćenja postu</w:t>
      </w:r>
      <w:r w:rsidR="00357709" w:rsidRPr="00335CF5">
        <w:t>p</w:t>
      </w:r>
      <w:r w:rsidRPr="00335CF5">
        <w:t xml:space="preserve">aka javnih nabavki, kao metode i postupaka koji se primjenjuju, je otkrivanje i otklanjanje kršenja odredbi Zakona i podzakonskih akata. U ovaj proces, zajedno sa Agencijom za javne nabavke su uključeni i uredi za reviziju na svim nivoima vlasti u Bosni i Hercegovini, koji kroz svoja izvješća ukazuju na uočene neusklađenosti procedura o javnim nabavkama. </w:t>
      </w:r>
    </w:p>
    <w:p w:rsidR="005B1758" w:rsidRPr="00335CF5" w:rsidRDefault="005B1758" w:rsidP="005B1758">
      <w:pPr>
        <w:spacing w:after="0" w:line="240" w:lineRule="auto"/>
        <w:jc w:val="both"/>
      </w:pPr>
    </w:p>
    <w:p w:rsidR="005B1758" w:rsidRPr="00335CF5" w:rsidRDefault="005B1758" w:rsidP="005B1758">
      <w:pPr>
        <w:spacing w:after="0" w:line="240" w:lineRule="auto"/>
        <w:jc w:val="both"/>
      </w:pPr>
      <w:r w:rsidRPr="00335CF5">
        <w:t xml:space="preserve">Praćenja koja provodi Agencija za javne nabavke su bazirana na otkrivanju i pronalaženju postupanja ugovornih organa suprotno zakonu i podzakonskim aktima, prevashodno u cilju preventivnog </w:t>
      </w:r>
      <w:r w:rsidR="00F975D7" w:rsidRPr="00335CF5">
        <w:t>i edukativnog djelovanja. U slučaju nepostupanja ugovornog organa po ukazivanju na propus</w:t>
      </w:r>
      <w:r w:rsidR="008152F1" w:rsidRPr="00335CF5">
        <w:t>t</w:t>
      </w:r>
      <w:r w:rsidR="00F975D7" w:rsidRPr="00335CF5">
        <w:t xml:space="preserve"> ili kršenje koje je uočeno kroz sistem praćenja, Agencija ima ovlasti i podnijeti prekršajnu prijavu. </w:t>
      </w:r>
    </w:p>
    <w:p w:rsidR="00290DBE" w:rsidRPr="00335CF5" w:rsidRDefault="00290DBE" w:rsidP="00290DBE">
      <w:pPr>
        <w:spacing w:after="0" w:line="240" w:lineRule="auto"/>
        <w:jc w:val="both"/>
        <w:rPr>
          <w:rFonts w:cs="Times New Roman"/>
          <w:color w:val="000000"/>
          <w:lang w:val="hr-HR" w:eastAsia="bs-Latn-BA"/>
        </w:rPr>
      </w:pPr>
      <w:r w:rsidRPr="00335CF5">
        <w:rPr>
          <w:rFonts w:cs="Times New Roman"/>
          <w:color w:val="000000"/>
          <w:lang w:val="hr-HR" w:eastAsia="bs-Latn-BA"/>
        </w:rPr>
        <w:lastRenderedPageBreak/>
        <w:t xml:space="preserve">Posebni aspekti praćenja </w:t>
      </w:r>
      <w:r>
        <w:rPr>
          <w:rFonts w:cs="Times New Roman"/>
          <w:color w:val="000000"/>
          <w:lang w:val="hr-HR" w:eastAsia="bs-Latn-BA"/>
        </w:rPr>
        <w:t xml:space="preserve">u 2019. godini, zasnivali su se na </w:t>
      </w:r>
      <w:r w:rsidRPr="00335CF5">
        <w:rPr>
          <w:rFonts w:cs="Times New Roman"/>
          <w:color w:val="000000"/>
          <w:lang w:val="hr-HR" w:eastAsia="bs-Latn-BA"/>
        </w:rPr>
        <w:t>kriterij</w:t>
      </w:r>
      <w:r w:rsidR="0062116A">
        <w:rPr>
          <w:rFonts w:cs="Times New Roman"/>
          <w:color w:val="000000"/>
          <w:lang w:val="hr-HR" w:eastAsia="bs-Latn-BA"/>
        </w:rPr>
        <w:t>ima</w:t>
      </w:r>
      <w:r w:rsidRPr="00335CF5">
        <w:rPr>
          <w:rFonts w:cs="Times New Roman"/>
          <w:color w:val="000000"/>
          <w:lang w:val="hr-HR" w:eastAsia="bs-Latn-BA"/>
        </w:rPr>
        <w:t xml:space="preserve"> praćenja, isti su usmjereni na težinu nepravilnosti, nabavke velike vrijednosti i fazu u kojoj je nepravilnost uočena. Međutim, uvođenjem novog informacionog sistema, kao i novih alata u okviru sistema, napravljen je značajan iskorak u dijelu preveniranja „grešaka“ od strane ugovornih organa, putem uvođenja </w:t>
      </w:r>
      <w:r>
        <w:rPr>
          <w:rFonts w:cs="Times New Roman"/>
          <w:color w:val="000000"/>
          <w:lang w:val="hr-HR" w:eastAsia="bs-Latn-BA"/>
        </w:rPr>
        <w:t xml:space="preserve">posebnih </w:t>
      </w:r>
      <w:r w:rsidRPr="00335CF5">
        <w:rPr>
          <w:rFonts w:cs="Times New Roman"/>
          <w:color w:val="000000"/>
          <w:lang w:val="hr-HR" w:eastAsia="bs-Latn-BA"/>
        </w:rPr>
        <w:t>validacija. To je posebno došlo do izražaja kod obavještenja o nabavci. Stoga je ovaj izvor praćenja izgubio svrhu, jer je u proteklom izvještajnom periodu bilo vrlo teško pronaći grešku koja predstavlja povredu Zakona ili podzakonskog akta.</w:t>
      </w:r>
    </w:p>
    <w:p w:rsidR="00290DBE" w:rsidRPr="00335CF5" w:rsidRDefault="00290DBE" w:rsidP="005B1758">
      <w:pPr>
        <w:spacing w:after="0" w:line="240" w:lineRule="auto"/>
        <w:jc w:val="both"/>
      </w:pPr>
    </w:p>
    <w:p w:rsidR="00290DBE" w:rsidRDefault="00290DBE" w:rsidP="00290DBE">
      <w:pPr>
        <w:spacing w:after="0" w:line="240" w:lineRule="auto"/>
        <w:jc w:val="both"/>
        <w:rPr>
          <w:rFonts w:cs="Times New Roman"/>
          <w:color w:val="000000"/>
          <w:lang w:val="hr-HR" w:eastAsia="bs-Latn-BA"/>
        </w:rPr>
      </w:pPr>
      <w:r>
        <w:rPr>
          <w:rFonts w:cs="Times New Roman"/>
          <w:color w:val="000000"/>
          <w:lang w:val="hr-HR" w:eastAsia="bs-Latn-BA"/>
        </w:rPr>
        <w:t>U</w:t>
      </w:r>
      <w:r w:rsidRPr="00335CF5">
        <w:rPr>
          <w:rFonts w:cs="Times New Roman"/>
          <w:color w:val="000000"/>
          <w:lang w:val="hr-HR" w:eastAsia="bs-Latn-BA"/>
        </w:rPr>
        <w:t xml:space="preserve"> toku 201</w:t>
      </w:r>
      <w:r>
        <w:rPr>
          <w:rFonts w:cs="Times New Roman"/>
          <w:color w:val="000000"/>
          <w:lang w:val="hr-HR" w:eastAsia="bs-Latn-BA"/>
        </w:rPr>
        <w:t>9</w:t>
      </w:r>
      <w:r w:rsidRPr="00335CF5">
        <w:rPr>
          <w:rFonts w:cs="Times New Roman"/>
          <w:color w:val="000000"/>
          <w:lang w:val="hr-HR" w:eastAsia="bs-Latn-BA"/>
        </w:rPr>
        <w:t xml:space="preserve">. godine, pored praćenja prema izvorima za praćenje, poseban fokus praćenja bio </w:t>
      </w:r>
      <w:r>
        <w:rPr>
          <w:rFonts w:cs="Times New Roman"/>
          <w:color w:val="000000"/>
          <w:lang w:val="hr-HR" w:eastAsia="bs-Latn-BA"/>
        </w:rPr>
        <w:t xml:space="preserve">je na programskom praćenju pregovaračkih postupaka bez objave obavještenja, koje će se provoditi u periodu 2020-2022. godina, te je dat osvrt na pokazatelje pregovaračkog postupka bez objave obavještenja u 2019. godini. Podaci za 2019. godinu će biti polazni pokazatelji u odnosu na koje će </w:t>
      </w:r>
      <w:r w:rsidR="002205E1">
        <w:rPr>
          <w:rFonts w:cs="Times New Roman"/>
          <w:color w:val="000000"/>
          <w:lang w:val="hr-HR" w:eastAsia="bs-Latn-BA"/>
        </w:rPr>
        <w:t xml:space="preserve">se </w:t>
      </w:r>
      <w:r>
        <w:rPr>
          <w:rFonts w:cs="Times New Roman"/>
          <w:color w:val="000000"/>
          <w:lang w:val="hr-HR" w:eastAsia="bs-Latn-BA"/>
        </w:rPr>
        <w:t>porediti godine koje su obuhvaćene programskim praćenjem.</w:t>
      </w:r>
      <w:r w:rsidRPr="00335CF5">
        <w:rPr>
          <w:rFonts w:cs="Times New Roman"/>
          <w:color w:val="000000"/>
          <w:lang w:val="hr-HR" w:eastAsia="bs-Latn-BA"/>
        </w:rPr>
        <w:t xml:space="preserve">  </w:t>
      </w:r>
    </w:p>
    <w:p w:rsidR="00290DBE" w:rsidRDefault="00290DBE" w:rsidP="00290DBE">
      <w:pPr>
        <w:spacing w:after="0" w:line="240" w:lineRule="auto"/>
        <w:jc w:val="both"/>
        <w:rPr>
          <w:rFonts w:cs="Times New Roman"/>
          <w:color w:val="000000"/>
          <w:lang w:val="hr-HR" w:eastAsia="bs-Latn-BA"/>
        </w:rPr>
      </w:pPr>
    </w:p>
    <w:p w:rsidR="00A21513" w:rsidRDefault="00290DBE" w:rsidP="005B1758">
      <w:pPr>
        <w:spacing w:after="0" w:line="240" w:lineRule="auto"/>
        <w:jc w:val="both"/>
      </w:pPr>
      <w:r>
        <w:t xml:space="preserve">U 2019. godini, Agencija je </w:t>
      </w:r>
      <w:r w:rsidR="00A21513">
        <w:t xml:space="preserve">kao rezultat praćenja, podnosila </w:t>
      </w:r>
      <w:r w:rsidR="00304578">
        <w:t xml:space="preserve">zahtjeve za pokretanje </w:t>
      </w:r>
      <w:r w:rsidR="00A21513">
        <w:t>prekršaj</w:t>
      </w:r>
      <w:r w:rsidR="00304578">
        <w:t>nih postupaka</w:t>
      </w:r>
      <w:r w:rsidR="00A21513">
        <w:t xml:space="preserve">, a što je jedna od nadležnosti definisana članom 116. stav (1) Zakona. Prekršajni postupci koje je pokretala i vodila Agencija za javne nabavke ukazali su na potrebu za edukacijom kadrova u oblasti javnih nabavki, neophodnu saradnju i razmjenu iskustava sa sudovima u Bosni i Hercegovini, kao i  kadrovsko jačanje Agencije u ovom segmentu. </w:t>
      </w:r>
    </w:p>
    <w:p w:rsidR="00A21513" w:rsidRDefault="00A21513" w:rsidP="005B1758">
      <w:pPr>
        <w:spacing w:after="0" w:line="240" w:lineRule="auto"/>
        <w:jc w:val="both"/>
      </w:pPr>
    </w:p>
    <w:p w:rsidR="00BE75D4" w:rsidRDefault="00BE75D4" w:rsidP="005B1758">
      <w:pPr>
        <w:spacing w:after="0" w:line="240" w:lineRule="auto"/>
        <w:jc w:val="both"/>
      </w:pPr>
      <w:r>
        <w:t xml:space="preserve">Planiranje i realizacija ugovora su u proteklom periodu pokazali se kao značajna slabost ugovornih organa iz više razloga, te u ovom izvještaju ćemo prezentirati </w:t>
      </w:r>
      <w:r w:rsidR="00304578">
        <w:t xml:space="preserve">neke od </w:t>
      </w:r>
      <w:r>
        <w:t xml:space="preserve">pokazatelja praćenja planiranja i realizacije </w:t>
      </w:r>
      <w:r w:rsidR="00304578">
        <w:t>iz prethodnog perioda.</w:t>
      </w:r>
    </w:p>
    <w:p w:rsidR="00304578" w:rsidRPr="00335CF5" w:rsidRDefault="00304578" w:rsidP="005B1758">
      <w:pPr>
        <w:spacing w:after="0" w:line="240" w:lineRule="auto"/>
        <w:jc w:val="both"/>
      </w:pPr>
    </w:p>
    <w:p w:rsidR="005C545B" w:rsidRDefault="008F2323" w:rsidP="008152F1">
      <w:pPr>
        <w:spacing w:after="0" w:line="240" w:lineRule="auto"/>
        <w:jc w:val="both"/>
        <w:rPr>
          <w:rFonts w:cs="Times New Roman"/>
          <w:color w:val="000000"/>
          <w:lang w:val="hr-HR" w:eastAsia="bs-Latn-BA"/>
        </w:rPr>
      </w:pPr>
      <w:r>
        <w:rPr>
          <w:rFonts w:cs="Times New Roman"/>
          <w:color w:val="000000"/>
          <w:lang w:val="hr-HR" w:eastAsia="bs-Latn-BA"/>
        </w:rPr>
        <w:t xml:space="preserve">Agencija za javne nabavke je definisala da u periodu 2020-2022. godina provodi programsko praćenje </w:t>
      </w:r>
      <w:r w:rsidR="00BE75D4">
        <w:rPr>
          <w:rFonts w:cs="Times New Roman"/>
          <w:color w:val="000000"/>
          <w:lang w:val="hr-HR" w:eastAsia="bs-Latn-BA"/>
        </w:rPr>
        <w:t xml:space="preserve">pregovaračkih postupaka bez objave obavještenja, </w:t>
      </w:r>
      <w:r>
        <w:rPr>
          <w:rFonts w:cs="Times New Roman"/>
          <w:color w:val="000000"/>
          <w:lang w:val="hr-HR" w:eastAsia="bs-Latn-BA"/>
        </w:rPr>
        <w:t>sa posebnim osvrtom na pravni osnov za primjenu ove vrste postupka. Naime, pregovarački postupak bez objave obavještenja je netransparentan postupak javne nabavke i kao takav je potencijalno najizloženiji za zloupotrebe i korupciju. Programsko praćenje pregovaračkih postupaka bez ob</w:t>
      </w:r>
      <w:r w:rsidR="002205E1">
        <w:rPr>
          <w:rFonts w:cs="Times New Roman"/>
          <w:color w:val="000000"/>
          <w:lang w:val="hr-HR" w:eastAsia="bs-Latn-BA"/>
        </w:rPr>
        <w:t>j</w:t>
      </w:r>
      <w:r>
        <w:rPr>
          <w:rFonts w:cs="Times New Roman"/>
          <w:color w:val="000000"/>
          <w:lang w:val="hr-HR" w:eastAsia="bs-Latn-BA"/>
        </w:rPr>
        <w:t>ave obavještenja Agencija će raditi u suradnji sa nevladinim sektorom.</w:t>
      </w:r>
    </w:p>
    <w:p w:rsidR="008F2323" w:rsidRDefault="008F2323" w:rsidP="008152F1">
      <w:pPr>
        <w:spacing w:after="0" w:line="240" w:lineRule="auto"/>
        <w:jc w:val="both"/>
        <w:rPr>
          <w:rFonts w:cs="Times New Roman"/>
          <w:color w:val="000000"/>
          <w:lang w:val="hr-HR" w:eastAsia="bs-Latn-BA"/>
        </w:rPr>
      </w:pPr>
    </w:p>
    <w:p w:rsidR="005C545B" w:rsidRPr="0035194A" w:rsidRDefault="005C545B" w:rsidP="005C545B">
      <w:pPr>
        <w:pStyle w:val="ListParagraph"/>
        <w:numPr>
          <w:ilvl w:val="0"/>
          <w:numId w:val="2"/>
        </w:numPr>
        <w:rPr>
          <w:b/>
          <w:sz w:val="24"/>
          <w:szCs w:val="24"/>
        </w:rPr>
      </w:pPr>
      <w:r w:rsidRPr="0035194A">
        <w:rPr>
          <w:b/>
          <w:sz w:val="24"/>
          <w:szCs w:val="24"/>
        </w:rPr>
        <w:t>Pokazatelji praćenja postupaka javnih nabavki</w:t>
      </w:r>
    </w:p>
    <w:p w:rsidR="005C545B" w:rsidRPr="00335CF5" w:rsidRDefault="005C545B" w:rsidP="005C545B">
      <w:pPr>
        <w:spacing w:after="0" w:line="240" w:lineRule="auto"/>
        <w:jc w:val="both"/>
        <w:rPr>
          <w:rFonts w:cs="Times New Roman"/>
          <w:color w:val="000000" w:themeColor="text1"/>
        </w:rPr>
      </w:pPr>
      <w:r w:rsidRPr="00335CF5">
        <w:rPr>
          <w:rFonts w:cs="Times New Roman"/>
          <w:color w:val="000000" w:themeColor="text1"/>
        </w:rPr>
        <w:t>U toku 201</w:t>
      </w:r>
      <w:r>
        <w:rPr>
          <w:rFonts w:cs="Times New Roman"/>
          <w:color w:val="000000" w:themeColor="text1"/>
        </w:rPr>
        <w:t>9</w:t>
      </w:r>
      <w:r w:rsidRPr="00335CF5">
        <w:rPr>
          <w:rFonts w:cs="Times New Roman"/>
          <w:color w:val="000000" w:themeColor="text1"/>
        </w:rPr>
        <w:t>. godine 5 uposlenih u Agenciji za javne nabavke je kroz praćenja postupaka javnih nabavki, procesuiral</w:t>
      </w:r>
      <w:r>
        <w:rPr>
          <w:rFonts w:cs="Times New Roman"/>
          <w:color w:val="000000" w:themeColor="text1"/>
        </w:rPr>
        <w:t>o</w:t>
      </w:r>
      <w:r w:rsidRPr="00335CF5">
        <w:rPr>
          <w:rFonts w:cs="Times New Roman"/>
          <w:color w:val="000000" w:themeColor="text1"/>
        </w:rPr>
        <w:t xml:space="preserve"> ukupno </w:t>
      </w:r>
      <w:r>
        <w:rPr>
          <w:rFonts w:cs="Times New Roman"/>
          <w:color w:val="000000" w:themeColor="text1"/>
        </w:rPr>
        <w:t>347</w:t>
      </w:r>
      <w:r w:rsidRPr="00335CF5">
        <w:rPr>
          <w:rFonts w:cs="Times New Roman"/>
          <w:color w:val="000000" w:themeColor="text1"/>
        </w:rPr>
        <w:t xml:space="preserve"> predmeta praćenja, </w:t>
      </w:r>
      <w:r w:rsidRPr="00335CF5">
        <w:rPr>
          <w:rFonts w:cs="Times New Roman"/>
          <w:color w:val="000000"/>
          <w:lang w:val="hr-HR" w:eastAsia="bs-Latn-BA"/>
        </w:rPr>
        <w:t xml:space="preserve">(uključujući </w:t>
      </w:r>
      <w:r>
        <w:rPr>
          <w:rFonts w:cs="Times New Roman"/>
          <w:color w:val="000000"/>
          <w:lang w:val="hr-HR" w:eastAsia="bs-Latn-BA"/>
        </w:rPr>
        <w:t>4</w:t>
      </w:r>
      <w:r w:rsidRPr="00335CF5">
        <w:rPr>
          <w:rFonts w:cs="Times New Roman"/>
          <w:color w:val="000000"/>
          <w:lang w:val="hr-HR" w:eastAsia="bs-Latn-BA"/>
        </w:rPr>
        <w:t xml:space="preserve">5 praćenja po zahtjevu NGO). </w:t>
      </w:r>
      <w:r w:rsidRPr="00335CF5">
        <w:rPr>
          <w:rFonts w:cs="Times New Roman"/>
          <w:color w:val="000000" w:themeColor="text1"/>
        </w:rPr>
        <w:t xml:space="preserve">Predmet praćenja postupaka se bazirao na više izvora praćenja koji su za cilj imali ukazati na slabosti sistema javnih nabavki, kako internih slabosti kod ugovornih organa, tako i eksterne slabosti, na kojim treba raditi kako bi se iste u narednom periodu otklonile. </w:t>
      </w:r>
      <w:r>
        <w:rPr>
          <w:rFonts w:cs="Times New Roman"/>
          <w:color w:val="000000" w:themeColor="text1"/>
        </w:rPr>
        <w:t>Ugovorni organi su pretezno u roku dostavljali izjašnjenja na praćenje. U 27 slučajeva, izjašnjenja su dostavili nakon urgencije Agencije.</w:t>
      </w:r>
    </w:p>
    <w:p w:rsidR="005C545B" w:rsidRPr="00335CF5" w:rsidRDefault="005C545B" w:rsidP="005C545B">
      <w:pPr>
        <w:spacing w:after="0" w:line="240" w:lineRule="auto"/>
        <w:jc w:val="both"/>
        <w:rPr>
          <w:rFonts w:cs="Times New Roman"/>
          <w:color w:val="000000" w:themeColor="text1"/>
        </w:rPr>
      </w:pPr>
    </w:p>
    <w:p w:rsidR="005C545B" w:rsidRDefault="005C545B" w:rsidP="005C545B">
      <w:pPr>
        <w:spacing w:after="0" w:line="240" w:lineRule="auto"/>
        <w:jc w:val="both"/>
        <w:rPr>
          <w:rFonts w:cs="Times New Roman"/>
          <w:color w:val="000000" w:themeColor="text1"/>
        </w:rPr>
      </w:pPr>
      <w:r w:rsidRPr="00335CF5">
        <w:rPr>
          <w:rFonts w:cs="Times New Roman"/>
          <w:color w:val="000000" w:themeColor="text1"/>
        </w:rPr>
        <w:t>Nadalje, kroz praćenje postupaka javnih nabavki u 201</w:t>
      </w:r>
      <w:r>
        <w:rPr>
          <w:rFonts w:cs="Times New Roman"/>
          <w:color w:val="000000" w:themeColor="text1"/>
        </w:rPr>
        <w:t>9</w:t>
      </w:r>
      <w:r w:rsidRPr="00335CF5">
        <w:rPr>
          <w:rFonts w:cs="Times New Roman"/>
          <w:color w:val="000000" w:themeColor="text1"/>
        </w:rPr>
        <w:t>. godini, kao bitnije interne slabosti u ugovornim organima identifikovane su slijedeće:</w:t>
      </w:r>
    </w:p>
    <w:p w:rsidR="005C545B" w:rsidRPr="00335CF5" w:rsidRDefault="005C545B" w:rsidP="005C545B">
      <w:pPr>
        <w:spacing w:after="0" w:line="240" w:lineRule="auto"/>
        <w:jc w:val="both"/>
        <w:rPr>
          <w:rFonts w:cs="Times New Roman"/>
          <w:color w:val="000000" w:themeColor="text1"/>
        </w:rPr>
      </w:pPr>
    </w:p>
    <w:p w:rsidR="005C545B" w:rsidRPr="00335CF5" w:rsidRDefault="005C545B" w:rsidP="005C545B">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t>Poslovi javnih nabavki su dodatni poslovi koji nisu sistematizovani u internim aktima ugovornih organa (ova slabost j</w:t>
      </w:r>
      <w:r w:rsidR="004714C5">
        <w:rPr>
          <w:rFonts w:cs="Times New Roman"/>
          <w:color w:val="000000" w:themeColor="text1"/>
        </w:rPr>
        <w:t>e</w:t>
      </w:r>
      <w:r w:rsidRPr="00335CF5">
        <w:rPr>
          <w:rFonts w:cs="Times New Roman"/>
          <w:color w:val="000000" w:themeColor="text1"/>
        </w:rPr>
        <w:t xml:space="preserve"> posebno izražena kod ugovornih organa sa malim brojem uposlenih i malim budžetima);</w:t>
      </w:r>
    </w:p>
    <w:p w:rsidR="005C545B" w:rsidRPr="00335CF5" w:rsidRDefault="005C545B" w:rsidP="005C545B">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t>U komisije za javne nabavke se imenuju uposleni samo da bi se zadovoljila forma, a ne prema stvarnim zahtjevima koje definira Pravilnik o uspostavi i radu komisije;</w:t>
      </w:r>
    </w:p>
    <w:p w:rsidR="005C545B" w:rsidRDefault="005C545B" w:rsidP="005C545B">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t>Nedovoljna educiranost interne revizije u dijelu javnih nabavki, a koja bi kroz svoje izvještaje trebala da ukaže na slabosti ugovornog organa  u oblasti javnih nabavki;</w:t>
      </w:r>
    </w:p>
    <w:p w:rsidR="005C545B" w:rsidRPr="00335CF5" w:rsidRDefault="005C545B" w:rsidP="005C545B">
      <w:pPr>
        <w:pStyle w:val="ListParagraph"/>
        <w:numPr>
          <w:ilvl w:val="0"/>
          <w:numId w:val="5"/>
        </w:numPr>
        <w:spacing w:after="0" w:line="240" w:lineRule="auto"/>
        <w:jc w:val="both"/>
        <w:rPr>
          <w:rFonts w:cs="Times New Roman"/>
          <w:color w:val="000000" w:themeColor="text1"/>
        </w:rPr>
      </w:pPr>
      <w:r>
        <w:rPr>
          <w:rFonts w:cs="Times New Roman"/>
          <w:color w:val="000000" w:themeColor="text1"/>
        </w:rPr>
        <w:t>Nepostojanje internog monitoringa u ugovornom organu,</w:t>
      </w:r>
    </w:p>
    <w:p w:rsidR="005C545B" w:rsidRPr="00335CF5" w:rsidRDefault="005C545B" w:rsidP="005C545B">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lastRenderedPageBreak/>
        <w:t>Izostanak ekspertskih znanja prilikom definisanja tehničkih specifikacija koje treba da omoguće jednak tretman svih potencijalnih ponuđača:</w:t>
      </w:r>
    </w:p>
    <w:p w:rsidR="005C545B" w:rsidRPr="00335CF5" w:rsidRDefault="005C545B" w:rsidP="005C545B">
      <w:pPr>
        <w:spacing w:after="0" w:line="240" w:lineRule="auto"/>
        <w:jc w:val="both"/>
        <w:rPr>
          <w:rFonts w:cs="Times New Roman"/>
          <w:color w:val="000000" w:themeColor="text1"/>
        </w:rPr>
      </w:pPr>
    </w:p>
    <w:p w:rsidR="005C545B" w:rsidRDefault="005C545B" w:rsidP="005C545B">
      <w:pPr>
        <w:spacing w:after="0" w:line="240" w:lineRule="auto"/>
        <w:jc w:val="both"/>
        <w:rPr>
          <w:rFonts w:cs="Times New Roman"/>
          <w:color w:val="000000" w:themeColor="text1"/>
        </w:rPr>
      </w:pPr>
      <w:r w:rsidRPr="00335CF5">
        <w:rPr>
          <w:rFonts w:cs="Times New Roman"/>
          <w:color w:val="000000" w:themeColor="text1"/>
        </w:rPr>
        <w:t xml:space="preserve">Ova zapažanja su rezultat izvještaja polaznika obuka za službenike za javne nabavke, posebno u dijelu koji se odnosi na tehničke specifikacije. Angažovanje stručnjaka za pripremu tehničkh specifikacija, izostanak provođenja konsultacija sa javnošću kao i „favoriziranje“ ne samo ponuđača, već i marke i vrste predmeta javne nabavke. </w:t>
      </w:r>
    </w:p>
    <w:p w:rsidR="00622D91" w:rsidRDefault="00622D91" w:rsidP="005C545B">
      <w:pPr>
        <w:spacing w:after="0" w:line="240" w:lineRule="auto"/>
        <w:jc w:val="both"/>
        <w:rPr>
          <w:rFonts w:cs="Times New Roman"/>
          <w:color w:val="000000" w:themeColor="text1"/>
        </w:rPr>
      </w:pPr>
    </w:p>
    <w:p w:rsidR="00622D91" w:rsidRPr="00335CF5" w:rsidRDefault="00622D91" w:rsidP="00622D91">
      <w:pPr>
        <w:spacing w:after="0" w:line="240" w:lineRule="auto"/>
        <w:jc w:val="both"/>
      </w:pPr>
      <w:r w:rsidRPr="00335CF5">
        <w:t xml:space="preserve">Jedan od prvih pokazatelja </w:t>
      </w:r>
      <w:r>
        <w:t xml:space="preserve">u 2019. godini </w:t>
      </w:r>
      <w:r w:rsidRPr="00335CF5">
        <w:t xml:space="preserve">je značajno smanjenje grešaka u obavještenjima o nabavci do kojeg je došlo zbog uvođenja niza validacija u sisetmu e-nabavke, a za koje je osnova bila u ranijim izvještajima o praćenju postupaka javnih nabavki. Stoga obavještenja  nabavci ne treba da budu izvor praćenja, i što će biti obuhvaćeno izmjenama Pravilnika o praćenju postupaka javnih nabavki. </w:t>
      </w:r>
    </w:p>
    <w:p w:rsidR="005C545B" w:rsidRPr="00335CF5" w:rsidRDefault="005C545B" w:rsidP="005C545B">
      <w:pPr>
        <w:spacing w:after="0" w:line="240" w:lineRule="auto"/>
        <w:jc w:val="both"/>
        <w:rPr>
          <w:rFonts w:cs="Times New Roman"/>
          <w:color w:val="000000" w:themeColor="text1"/>
        </w:rPr>
      </w:pPr>
    </w:p>
    <w:p w:rsidR="005C545B" w:rsidRDefault="005C545B" w:rsidP="005C545B">
      <w:pPr>
        <w:spacing w:after="0" w:line="240" w:lineRule="auto"/>
        <w:jc w:val="both"/>
        <w:rPr>
          <w:rFonts w:cs="Times New Roman"/>
          <w:color w:val="000000" w:themeColor="text1"/>
        </w:rPr>
      </w:pPr>
      <w:r w:rsidRPr="00335CF5">
        <w:rPr>
          <w:rFonts w:cs="Times New Roman"/>
          <w:color w:val="000000" w:themeColor="text1"/>
        </w:rPr>
        <w:t>U 201</w:t>
      </w:r>
      <w:r>
        <w:rPr>
          <w:rFonts w:cs="Times New Roman"/>
          <w:color w:val="000000" w:themeColor="text1"/>
        </w:rPr>
        <w:t>9</w:t>
      </w:r>
      <w:r w:rsidRPr="00335CF5">
        <w:rPr>
          <w:rFonts w:cs="Times New Roman"/>
          <w:color w:val="000000" w:themeColor="text1"/>
        </w:rPr>
        <w:t xml:space="preserve">. godini, a na osnovu zaključenog Memoranduma između Agencije za javne nabavke i nevladinog sektora (Transparency International BiH, Centar za istraživačko novinarstvo, EDA Razvojna agencija Banja Luka i UG Tender) u realizaciji projekta „ da javne nabavke budu javne“ sudjelovala je u praćenju postupaka javnih nabavki, te je u posmatranom periodu Agenciji dostavila </w:t>
      </w:r>
      <w:r>
        <w:rPr>
          <w:rFonts w:cs="Times New Roman"/>
          <w:color w:val="000000" w:themeColor="text1"/>
        </w:rPr>
        <w:t>4</w:t>
      </w:r>
      <w:r w:rsidRPr="00335CF5">
        <w:rPr>
          <w:rFonts w:cs="Times New Roman"/>
          <w:color w:val="000000" w:themeColor="text1"/>
        </w:rPr>
        <w:t xml:space="preserve">5 zahtjeva za praćenje. </w:t>
      </w:r>
      <w:r>
        <w:rPr>
          <w:rFonts w:cs="Times New Roman"/>
          <w:color w:val="000000" w:themeColor="text1"/>
        </w:rPr>
        <w:t xml:space="preserve">Najveći broj zahtjeva NGO za praćenje se odnosio na kvalifikacijske uslove, kao i na tehničke specifikacije, međutim broj zahtjeva za praćenje koji se odnosio na tehničke specifikacije je manji u odnosu na 2018. godinu. Naime, Agencija nema nadležnost da provodi praćenje u dijelu tehničkih specifikacija. Praćenje tehničkih specifikacija zahtjeva stručna i ekspertska znanja vezana za predmet nabavke, a sto Agencija ne posjeduje niti ima u budžetu sredstva za angažovanje eksperata vezano za tehničke specifikacije. </w:t>
      </w:r>
    </w:p>
    <w:p w:rsidR="005C545B" w:rsidRPr="00335CF5" w:rsidRDefault="005C545B" w:rsidP="005C545B">
      <w:pPr>
        <w:spacing w:after="0" w:line="240" w:lineRule="auto"/>
        <w:jc w:val="both"/>
        <w:rPr>
          <w:rFonts w:cs="Times New Roman"/>
          <w:color w:val="000000" w:themeColor="text1"/>
        </w:rPr>
      </w:pPr>
    </w:p>
    <w:p w:rsidR="005C545B" w:rsidRPr="00335CF5" w:rsidRDefault="005C545B" w:rsidP="005C545B">
      <w:pPr>
        <w:spacing w:after="0" w:line="240" w:lineRule="auto"/>
        <w:jc w:val="both"/>
        <w:rPr>
          <w:rFonts w:cs="Times New Roman"/>
          <w:color w:val="000000"/>
          <w:lang w:val="hr-HR" w:eastAsia="bs-Latn-BA"/>
        </w:rPr>
      </w:pPr>
      <w:r w:rsidRPr="00335CF5">
        <w:rPr>
          <w:rFonts w:cs="Times New Roman"/>
          <w:color w:val="000000"/>
          <w:lang w:val="hr-HR" w:eastAsia="bs-Latn-BA"/>
        </w:rPr>
        <w:t xml:space="preserve">Ako se ima u vidu činjenica da je Agencija na temelju praćenja, nadležna podnijeti </w:t>
      </w:r>
      <w:r w:rsidR="00A76810">
        <w:rPr>
          <w:rFonts w:cs="Times New Roman"/>
          <w:color w:val="000000"/>
          <w:lang w:val="hr-HR" w:eastAsia="bs-Latn-BA"/>
        </w:rPr>
        <w:t>zahtjev za pokretanje prekršajnog postupka</w:t>
      </w:r>
      <w:r w:rsidRPr="00335CF5">
        <w:rPr>
          <w:rFonts w:cs="Times New Roman"/>
          <w:color w:val="000000"/>
          <w:lang w:val="hr-HR" w:eastAsia="bs-Latn-BA"/>
        </w:rPr>
        <w:t>, u skladu sa članom 116. Zakona o javnim nabavkama, onda je ovaj broj uposlenih nedovoljan za veći obuhvat praćenja, jer veći obuhvat praćenja bi rezultirao i većim brojem prekršajnih prijava (u 201</w:t>
      </w:r>
      <w:r>
        <w:rPr>
          <w:rFonts w:cs="Times New Roman"/>
          <w:color w:val="000000"/>
          <w:lang w:val="hr-HR" w:eastAsia="bs-Latn-BA"/>
        </w:rPr>
        <w:t>9</w:t>
      </w:r>
      <w:r w:rsidRPr="00335CF5">
        <w:rPr>
          <w:rFonts w:cs="Times New Roman"/>
          <w:color w:val="000000"/>
          <w:lang w:val="hr-HR" w:eastAsia="bs-Latn-BA"/>
        </w:rPr>
        <w:t>. godini podnesen</w:t>
      </w:r>
      <w:r>
        <w:rPr>
          <w:rFonts w:cs="Times New Roman"/>
          <w:color w:val="000000"/>
          <w:lang w:val="hr-HR" w:eastAsia="bs-Latn-BA"/>
        </w:rPr>
        <w:t>o 2</w:t>
      </w:r>
      <w:r w:rsidR="0062116A">
        <w:rPr>
          <w:rFonts w:cs="Times New Roman"/>
          <w:color w:val="000000"/>
          <w:lang w:val="hr-HR" w:eastAsia="bs-Latn-BA"/>
        </w:rPr>
        <w:t>7</w:t>
      </w:r>
      <w:r w:rsidRPr="00335CF5">
        <w:rPr>
          <w:rFonts w:cs="Times New Roman"/>
          <w:color w:val="000000"/>
          <w:lang w:val="hr-HR" w:eastAsia="bs-Latn-BA"/>
        </w:rPr>
        <w:t xml:space="preserve"> prekršajn</w:t>
      </w:r>
      <w:r>
        <w:rPr>
          <w:rFonts w:cs="Times New Roman"/>
          <w:color w:val="000000"/>
          <w:lang w:val="hr-HR" w:eastAsia="bs-Latn-BA"/>
        </w:rPr>
        <w:t>ih</w:t>
      </w:r>
      <w:r w:rsidRPr="00335CF5">
        <w:rPr>
          <w:rFonts w:cs="Times New Roman"/>
          <w:color w:val="000000"/>
          <w:lang w:val="hr-HR" w:eastAsia="bs-Latn-BA"/>
        </w:rPr>
        <w:t xml:space="preserve"> prijav</w:t>
      </w:r>
      <w:r>
        <w:rPr>
          <w:rFonts w:cs="Times New Roman"/>
          <w:color w:val="000000"/>
          <w:lang w:val="hr-HR" w:eastAsia="bs-Latn-BA"/>
        </w:rPr>
        <w:t>a</w:t>
      </w:r>
      <w:r w:rsidRPr="00335CF5">
        <w:rPr>
          <w:rFonts w:cs="Times New Roman"/>
          <w:color w:val="000000"/>
          <w:lang w:val="hr-HR" w:eastAsia="bs-Latn-BA"/>
        </w:rPr>
        <w:t xml:space="preserve">). </w:t>
      </w:r>
    </w:p>
    <w:p w:rsidR="005C545B" w:rsidRPr="00335CF5" w:rsidRDefault="005C545B" w:rsidP="005C545B">
      <w:pPr>
        <w:spacing w:after="0" w:line="240" w:lineRule="auto"/>
        <w:jc w:val="both"/>
        <w:rPr>
          <w:rFonts w:cs="Times New Roman"/>
          <w:color w:val="000000"/>
          <w:lang w:val="hr-HR" w:eastAsia="bs-Latn-BA"/>
        </w:rPr>
      </w:pPr>
    </w:p>
    <w:p w:rsidR="005C545B" w:rsidRDefault="005C545B" w:rsidP="005C545B">
      <w:pPr>
        <w:spacing w:after="0" w:line="240" w:lineRule="auto"/>
        <w:jc w:val="both"/>
        <w:rPr>
          <w:rFonts w:cs="Times New Roman"/>
          <w:color w:val="000000"/>
          <w:lang w:val="hr-HR" w:eastAsia="bs-Latn-BA"/>
        </w:rPr>
      </w:pPr>
      <w:r w:rsidRPr="00335CF5">
        <w:rPr>
          <w:rFonts w:cs="Times New Roman"/>
          <w:color w:val="000000"/>
          <w:lang w:val="hr-HR" w:eastAsia="bs-Latn-BA"/>
        </w:rPr>
        <w:t xml:space="preserve">Naime, Agencija kao regulatorno tijelo sistema, prije svega ima zadaću da prati sistem i na osnovu pokazatelja praćenja sistema predlaže i izmjene koje bi otklonile devijacije u sistemu, kao i lošu praksu. Također, edukativni karakter koji ima Agencija, putem ovlaštenih predavača javnih nabavki, </w:t>
      </w:r>
      <w:r w:rsidR="0062116A">
        <w:rPr>
          <w:rFonts w:cs="Times New Roman"/>
          <w:color w:val="000000"/>
          <w:lang w:val="hr-HR" w:eastAsia="bs-Latn-BA"/>
        </w:rPr>
        <w:t xml:space="preserve">kao i službenika za javne nabavke, </w:t>
      </w:r>
      <w:r w:rsidRPr="00335CF5">
        <w:rPr>
          <w:rFonts w:cs="Times New Roman"/>
          <w:color w:val="000000"/>
          <w:lang w:val="hr-HR" w:eastAsia="bs-Latn-BA"/>
        </w:rPr>
        <w:t xml:space="preserve">je mehanizam za promovisanje pravilnog postupanja i dobre prakse u postupcima javnih nabavki. Ali nakon više od 10 godina, izgradnje sistema, kao i edukativnog i preventivnog karaktera praćenja sistema javnih nabavki, stekli su se uslovi i za realizaciju sankcionisanja postupanja koja nisu u skladu sa Zakonom i podzakonskim aktima. </w:t>
      </w:r>
    </w:p>
    <w:p w:rsidR="00304578" w:rsidRDefault="00304578" w:rsidP="005C545B">
      <w:pPr>
        <w:spacing w:after="0" w:line="240" w:lineRule="auto"/>
        <w:jc w:val="both"/>
        <w:rPr>
          <w:rFonts w:cs="Times New Roman"/>
          <w:color w:val="000000"/>
          <w:lang w:val="hr-HR" w:eastAsia="bs-Latn-BA"/>
        </w:rPr>
      </w:pPr>
    </w:p>
    <w:p w:rsidR="004714C5" w:rsidRDefault="00304578" w:rsidP="005C545B">
      <w:pPr>
        <w:spacing w:after="0" w:line="240" w:lineRule="auto"/>
        <w:jc w:val="both"/>
        <w:rPr>
          <w:bCs/>
          <w:lang w:val="hr-HR" w:eastAsia="hr-HR"/>
        </w:rPr>
      </w:pPr>
      <w:r>
        <w:rPr>
          <w:rFonts w:cs="Times New Roman"/>
          <w:color w:val="000000"/>
          <w:lang w:val="hr-HR" w:eastAsia="bs-Latn-BA"/>
        </w:rPr>
        <w:t xml:space="preserve">Jedan od osnova za praćenje bilo je i praćenje primjene e-aukcije, čija primjena je bila obavezna za ugovorne organe. Naime u svim  postupcima javne nabavke za koje se objavi obavjštenje o nabavci i u kojim je kriterij za vrednovanje ponuda bila najniža cijena, ugovorni organi su bili obavezni primjeniti e-aukciju u najmanje 80% provedenih postupaka. Iz pokazatelja koji su bili dostupni Agenciji za javne nabavke, 117 ugovornh organa je imalo 0% primjenjene e-aukcije u postupcima javne nabavke, koje su provodili. E-aukcija će biti predmet praćenja i u narednom periodu, obzirom da je od 01.01.2020. godine, a u skladu sa </w:t>
      </w:r>
      <w:r w:rsidR="006E6E94" w:rsidRPr="005A7904">
        <w:rPr>
          <w:bCs/>
          <w:lang w:val="hr-HR" w:eastAsia="hr-HR"/>
        </w:rPr>
        <w:t xml:space="preserve">Pravilnik o uslovima i načinu korištenja e-aukcije („Službeni glasnik BiH“ broj 66/16), </w:t>
      </w:r>
      <w:r w:rsidR="006E6E94">
        <w:rPr>
          <w:bCs/>
          <w:lang w:val="hr-HR" w:eastAsia="hr-HR"/>
        </w:rPr>
        <w:t xml:space="preserve">definisana obaveza za ugovorne organe da primjene e-aukciju </w:t>
      </w:r>
      <w:r w:rsidR="0048738D">
        <w:rPr>
          <w:bCs/>
          <w:lang w:val="hr-HR" w:eastAsia="hr-HR"/>
        </w:rPr>
        <w:t>100% za postupke javne nabavke gdje je kriterij najniža cijena.</w:t>
      </w:r>
    </w:p>
    <w:p w:rsidR="0048738D" w:rsidRDefault="0048738D" w:rsidP="005C545B">
      <w:pPr>
        <w:spacing w:after="0" w:line="240" w:lineRule="auto"/>
        <w:jc w:val="both"/>
        <w:rPr>
          <w:bCs/>
          <w:lang w:val="hr-HR" w:eastAsia="hr-HR"/>
        </w:rPr>
      </w:pPr>
    </w:p>
    <w:p w:rsidR="004714C5" w:rsidRPr="00335CF5" w:rsidRDefault="0048738D" w:rsidP="005C545B">
      <w:pPr>
        <w:spacing w:after="0" w:line="240" w:lineRule="auto"/>
        <w:jc w:val="both"/>
        <w:rPr>
          <w:rFonts w:cs="Times New Roman"/>
          <w:color w:val="000000"/>
          <w:lang w:val="hr-HR" w:eastAsia="bs-Latn-BA"/>
        </w:rPr>
      </w:pPr>
      <w:r>
        <w:rPr>
          <w:bCs/>
          <w:lang w:val="hr-HR" w:eastAsia="hr-HR"/>
        </w:rPr>
        <w:t xml:space="preserve">Nadalje, kroz elektronski sistem javnih nabavki u 2019. </w:t>
      </w:r>
      <w:r w:rsidR="002205E1">
        <w:rPr>
          <w:bCs/>
          <w:lang w:val="hr-HR" w:eastAsia="hr-HR"/>
        </w:rPr>
        <w:t>godini utvrđeno j</w:t>
      </w:r>
      <w:r>
        <w:rPr>
          <w:bCs/>
          <w:lang w:val="hr-HR" w:eastAsia="hr-HR"/>
        </w:rPr>
        <w:t>e da su u 66 slučajeva u</w:t>
      </w:r>
      <w:r w:rsidR="002205E1">
        <w:rPr>
          <w:bCs/>
          <w:lang w:val="hr-HR" w:eastAsia="hr-HR"/>
        </w:rPr>
        <w:t>govorni organi u postupcima nab</w:t>
      </w:r>
      <w:r>
        <w:rPr>
          <w:bCs/>
          <w:lang w:val="hr-HR" w:eastAsia="hr-HR"/>
        </w:rPr>
        <w:t>avke male vrijednosti, prekoračili Zakonom definisane vrijednosti za ove vrste postupaka javne nabavke.</w:t>
      </w:r>
    </w:p>
    <w:p w:rsidR="005C545B" w:rsidRPr="00335CF5" w:rsidRDefault="004714C5" w:rsidP="005C545B">
      <w:pPr>
        <w:spacing w:after="0" w:line="240" w:lineRule="auto"/>
        <w:ind w:left="360"/>
        <w:jc w:val="center"/>
        <w:rPr>
          <w:rFonts w:cs="Times New Roman"/>
          <w:color w:val="000000"/>
          <w:lang w:val="hr-HR" w:eastAsia="bs-Latn-BA"/>
        </w:rPr>
      </w:pPr>
      <w:r>
        <w:rPr>
          <w:noProof/>
          <w:lang w:eastAsia="bs-Latn-BA"/>
        </w:rPr>
        <w:lastRenderedPageBreak/>
        <w:drawing>
          <wp:inline distT="0" distB="0" distL="0" distR="0" wp14:anchorId="45F0D7D8" wp14:editId="439544D9">
            <wp:extent cx="4200525" cy="25050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545B" w:rsidRPr="00335CF5" w:rsidRDefault="005C545B" w:rsidP="005C545B">
      <w:pPr>
        <w:spacing w:after="0" w:line="240" w:lineRule="auto"/>
        <w:jc w:val="center"/>
        <w:rPr>
          <w:rFonts w:cs="Times New Roman"/>
          <w:color w:val="000000"/>
          <w:lang w:val="hr-HR" w:eastAsia="bs-Latn-BA"/>
        </w:rPr>
      </w:pPr>
    </w:p>
    <w:p w:rsidR="005C545B" w:rsidRPr="00335CF5" w:rsidRDefault="005C545B" w:rsidP="005C545B">
      <w:pPr>
        <w:spacing w:after="0" w:line="240" w:lineRule="auto"/>
        <w:jc w:val="both"/>
      </w:pPr>
      <w:r w:rsidRPr="00335CF5">
        <w:t>Posmatrajući pokazatelje vezano za predmet praćenja postupaka javnih nabavki, uočavaju se slijedeći propusti i od ponuđača i od ugovornih organa:</w:t>
      </w:r>
    </w:p>
    <w:p w:rsidR="005C545B" w:rsidRPr="00335CF5" w:rsidRDefault="005C545B" w:rsidP="005C545B">
      <w:pPr>
        <w:spacing w:after="0" w:line="240" w:lineRule="auto"/>
        <w:jc w:val="both"/>
      </w:pPr>
    </w:p>
    <w:p w:rsidR="005C545B" w:rsidRPr="00335CF5" w:rsidRDefault="005C545B" w:rsidP="005C545B">
      <w:pPr>
        <w:pStyle w:val="ListParagraph"/>
        <w:numPr>
          <w:ilvl w:val="0"/>
          <w:numId w:val="5"/>
        </w:numPr>
        <w:spacing w:after="0" w:line="240" w:lineRule="auto"/>
        <w:jc w:val="both"/>
      </w:pPr>
      <w:r w:rsidRPr="00335CF5">
        <w:t>Hitnost kao razlog za primjenu pregovaračkog postupka bez obja</w:t>
      </w:r>
      <w:r w:rsidR="002205E1">
        <w:t>ve obavještenja nije obrazložen</w:t>
      </w:r>
      <w:r w:rsidRPr="00335CF5">
        <w:t xml:space="preserve"> u skladu sa uslovima definisanim u Zakonu,</w:t>
      </w:r>
    </w:p>
    <w:p w:rsidR="005C545B" w:rsidRDefault="005C545B" w:rsidP="005C545B">
      <w:pPr>
        <w:pStyle w:val="ListParagraph"/>
        <w:numPr>
          <w:ilvl w:val="0"/>
          <w:numId w:val="5"/>
        </w:numPr>
        <w:spacing w:after="0" w:line="240" w:lineRule="auto"/>
        <w:jc w:val="both"/>
      </w:pPr>
      <w:r w:rsidRPr="00335CF5">
        <w:t>Rok za dostavu ponuda kod konkurenskog zahtjeva za dostavu ponuda u određenom broju slučajeva je prekratak (2 do 3 dana),</w:t>
      </w:r>
    </w:p>
    <w:p w:rsidR="003E4674" w:rsidRDefault="003E4674" w:rsidP="005C545B">
      <w:pPr>
        <w:pStyle w:val="ListParagraph"/>
        <w:numPr>
          <w:ilvl w:val="0"/>
          <w:numId w:val="5"/>
        </w:numPr>
        <w:spacing w:after="0" w:line="240" w:lineRule="auto"/>
        <w:jc w:val="both"/>
      </w:pPr>
      <w:r>
        <w:t xml:space="preserve">Planovi nabavki </w:t>
      </w:r>
      <w:r w:rsidR="002205E1">
        <w:t>se teš</w:t>
      </w:r>
      <w:r>
        <w:t>ko pronalaze na web stranicama ugovornih organa;</w:t>
      </w:r>
    </w:p>
    <w:p w:rsidR="003E4674" w:rsidRDefault="003E4674" w:rsidP="005C545B">
      <w:pPr>
        <w:pStyle w:val="ListParagraph"/>
        <w:numPr>
          <w:ilvl w:val="0"/>
          <w:numId w:val="5"/>
        </w:numPr>
        <w:spacing w:after="0" w:line="240" w:lineRule="auto"/>
        <w:jc w:val="both"/>
      </w:pPr>
      <w:r>
        <w:t>Nepoštivanje obavezno</w:t>
      </w:r>
      <w:r w:rsidR="002205E1">
        <w:t>g</w:t>
      </w:r>
      <w:r>
        <w:t xml:space="preserve"> učešća e-aukcija u postupcima javnih nabavki,</w:t>
      </w:r>
    </w:p>
    <w:p w:rsidR="00515B07" w:rsidRDefault="005C545B" w:rsidP="005C545B">
      <w:pPr>
        <w:pStyle w:val="ListParagraph"/>
        <w:numPr>
          <w:ilvl w:val="0"/>
          <w:numId w:val="5"/>
        </w:numPr>
        <w:spacing w:after="0" w:line="240" w:lineRule="auto"/>
        <w:jc w:val="both"/>
      </w:pPr>
      <w:r w:rsidRPr="00335CF5">
        <w:t xml:space="preserve">Podaci plana nabavki i realizacije ugovora su </w:t>
      </w:r>
      <w:r w:rsidR="00515B07">
        <w:t>nesinhronizovani i nepregledni,</w:t>
      </w:r>
    </w:p>
    <w:p w:rsidR="005C545B" w:rsidRDefault="00515B07" w:rsidP="005C545B">
      <w:pPr>
        <w:pStyle w:val="ListParagraph"/>
        <w:numPr>
          <w:ilvl w:val="0"/>
          <w:numId w:val="5"/>
        </w:numPr>
        <w:spacing w:after="0" w:line="240" w:lineRule="auto"/>
        <w:jc w:val="both"/>
      </w:pPr>
      <w:r>
        <w:t xml:space="preserve">Zahtjevi ponuđača praćenje </w:t>
      </w:r>
      <w:r w:rsidR="002205E1">
        <w:t xml:space="preserve">postupaka </w:t>
      </w:r>
      <w:r>
        <w:t xml:space="preserve">koriste umjesto </w:t>
      </w:r>
      <w:r w:rsidR="002205E1">
        <w:t>ž</w:t>
      </w:r>
      <w:r>
        <w:t>albe,</w:t>
      </w:r>
      <w:r w:rsidR="002205E1">
        <w:t xml:space="preserve"> </w:t>
      </w:r>
      <w:r>
        <w:t>iako se p</w:t>
      </w:r>
      <w:r w:rsidR="003E4674" w:rsidRPr="00335CF5">
        <w:t>raćenje ne provodi ukoliko je izjavljena žalba,</w:t>
      </w:r>
    </w:p>
    <w:p w:rsidR="00515B07" w:rsidRDefault="00515B07" w:rsidP="005C545B">
      <w:pPr>
        <w:pStyle w:val="ListParagraph"/>
        <w:numPr>
          <w:ilvl w:val="0"/>
          <w:numId w:val="5"/>
        </w:numPr>
        <w:spacing w:after="0" w:line="240" w:lineRule="auto"/>
        <w:jc w:val="both"/>
      </w:pPr>
      <w:r>
        <w:t>Uslovi za kvalifikaciju diskriminatorni, ili favorizirajuči.</w:t>
      </w:r>
    </w:p>
    <w:p w:rsidR="00515B07" w:rsidRDefault="00515B07" w:rsidP="00515B07">
      <w:pPr>
        <w:spacing w:after="0" w:line="240" w:lineRule="auto"/>
        <w:jc w:val="both"/>
      </w:pPr>
    </w:p>
    <w:p w:rsidR="00515B07" w:rsidRDefault="00515B07" w:rsidP="00515B07">
      <w:pPr>
        <w:spacing w:after="0" w:line="240" w:lineRule="auto"/>
        <w:jc w:val="both"/>
      </w:pPr>
      <w:r>
        <w:t xml:space="preserve">Kroz sistem praćenja postupaka javnih nabavki, uočava se potreba za otklanjanje uočenih devijacija, odnosno pogrešnih postupanja ugovornih organa i ponuđača, te u narednom periodu posebno će se pratiti pregovarački postupci bez objave obavještenja.  </w:t>
      </w:r>
    </w:p>
    <w:p w:rsidR="00BE75D4" w:rsidRDefault="00BE75D4" w:rsidP="008152F1">
      <w:pPr>
        <w:spacing w:after="0" w:line="240" w:lineRule="auto"/>
        <w:jc w:val="both"/>
        <w:rPr>
          <w:rFonts w:cs="Times New Roman"/>
          <w:color w:val="000000"/>
          <w:lang w:val="hr-HR" w:eastAsia="bs-Latn-BA"/>
        </w:rPr>
      </w:pPr>
    </w:p>
    <w:p w:rsidR="00CD069B" w:rsidRDefault="00CD069B" w:rsidP="00CD069B">
      <w:pPr>
        <w:pStyle w:val="ListParagraph"/>
        <w:numPr>
          <w:ilvl w:val="0"/>
          <w:numId w:val="2"/>
        </w:numPr>
        <w:spacing w:after="0" w:line="240" w:lineRule="auto"/>
        <w:jc w:val="both"/>
        <w:rPr>
          <w:rFonts w:cs="Times New Roman"/>
          <w:b/>
          <w:color w:val="000000"/>
          <w:lang w:val="hr-HR" w:eastAsia="bs-Latn-BA"/>
        </w:rPr>
      </w:pPr>
      <w:r w:rsidRPr="00CD069B">
        <w:rPr>
          <w:rFonts w:cs="Times New Roman"/>
          <w:b/>
          <w:color w:val="000000"/>
          <w:lang w:val="hr-HR" w:eastAsia="bs-Latn-BA"/>
        </w:rPr>
        <w:t>Pregovarački postupci bez objave obavještenja</w:t>
      </w:r>
    </w:p>
    <w:p w:rsidR="003E4674" w:rsidRDefault="003E4674" w:rsidP="003E4674">
      <w:pPr>
        <w:spacing w:after="0" w:line="240" w:lineRule="auto"/>
        <w:jc w:val="both"/>
        <w:rPr>
          <w:rFonts w:cs="Times New Roman"/>
          <w:b/>
          <w:color w:val="000000"/>
          <w:lang w:val="hr-HR" w:eastAsia="bs-Latn-BA"/>
        </w:rPr>
      </w:pPr>
    </w:p>
    <w:p w:rsidR="00515B07" w:rsidRDefault="003E4674" w:rsidP="003E4674">
      <w:pPr>
        <w:spacing w:after="0" w:line="240" w:lineRule="auto"/>
        <w:jc w:val="both"/>
        <w:rPr>
          <w:rFonts w:cs="Times New Roman"/>
          <w:color w:val="000000"/>
          <w:lang w:val="hr-HR" w:eastAsia="bs-Latn-BA"/>
        </w:rPr>
      </w:pPr>
      <w:r w:rsidRPr="003E4674">
        <w:rPr>
          <w:rFonts w:cs="Times New Roman"/>
          <w:color w:val="000000"/>
          <w:lang w:val="hr-HR" w:eastAsia="bs-Latn-BA"/>
        </w:rPr>
        <w:t xml:space="preserve">Pregovarački postupak bez objave obavještenja </w:t>
      </w:r>
      <w:r w:rsidR="00515B07">
        <w:rPr>
          <w:rFonts w:cs="Times New Roman"/>
          <w:color w:val="000000"/>
          <w:lang w:val="hr-HR" w:eastAsia="bs-Latn-BA"/>
        </w:rPr>
        <w:t>je netransparentan postupak javne nabavke, koji se mo</w:t>
      </w:r>
      <w:r w:rsidR="0062116A">
        <w:rPr>
          <w:rFonts w:cs="Times New Roman"/>
          <w:color w:val="000000"/>
          <w:lang w:val="hr-HR" w:eastAsia="bs-Latn-BA"/>
        </w:rPr>
        <w:t>ž</w:t>
      </w:r>
      <w:r w:rsidR="00515B07">
        <w:rPr>
          <w:rFonts w:cs="Times New Roman"/>
          <w:color w:val="000000"/>
          <w:lang w:val="hr-HR" w:eastAsia="bs-Latn-BA"/>
        </w:rPr>
        <w:t>e provoditi samo u slučajevima koji su definisani Zakonom o javnim nabavkama. Bitno je naglasiti da uslovi za primjenu ove vrste postupka javne nabavke su strogi, i u svakom od slučajeva potrebno je da bude ispunjeno kumulativno više uslova, da bi se primjenio ovaj postupak. Međutim, kroz postupak praćenja uočeno je da ugovorni organi primjenjuju ovu vrstu postupka i onda kada nisu ispunjeni uslovi za primjenu.</w:t>
      </w:r>
    </w:p>
    <w:p w:rsidR="00185F4B" w:rsidRDefault="00185F4B" w:rsidP="003E4674">
      <w:pPr>
        <w:spacing w:after="0" w:line="240" w:lineRule="auto"/>
        <w:jc w:val="both"/>
        <w:rPr>
          <w:rFonts w:cs="Times New Roman"/>
          <w:color w:val="000000"/>
          <w:lang w:val="hr-HR" w:eastAsia="bs-Latn-BA"/>
        </w:rPr>
      </w:pPr>
    </w:p>
    <w:p w:rsidR="00F76E23" w:rsidRDefault="00185F4B" w:rsidP="003E4674">
      <w:pPr>
        <w:spacing w:after="0" w:line="240" w:lineRule="auto"/>
        <w:jc w:val="both"/>
        <w:rPr>
          <w:rFonts w:cs="Times New Roman"/>
          <w:color w:val="000000"/>
          <w:lang w:val="hr-HR" w:eastAsia="bs-Latn-BA"/>
        </w:rPr>
      </w:pPr>
      <w:r>
        <w:rPr>
          <w:rFonts w:cs="Times New Roman"/>
          <w:color w:val="000000"/>
          <w:lang w:val="hr-HR" w:eastAsia="bs-Latn-BA"/>
        </w:rPr>
        <w:t xml:space="preserve">U 2019. godini u Bosni i Hercegovni je zaključeno 1546 ugovora/okvirnih sporazuma </w:t>
      </w:r>
      <w:r w:rsidR="005F280F">
        <w:rPr>
          <w:rFonts w:cs="Times New Roman"/>
          <w:color w:val="000000"/>
          <w:lang w:val="hr-HR" w:eastAsia="bs-Latn-BA"/>
        </w:rPr>
        <w:t xml:space="preserve">(u daljem tekstu: ugovori) putem </w:t>
      </w:r>
      <w:r>
        <w:rPr>
          <w:rFonts w:cs="Times New Roman"/>
          <w:color w:val="000000"/>
          <w:lang w:val="hr-HR" w:eastAsia="bs-Latn-BA"/>
        </w:rPr>
        <w:t>pregovaračkog postupka bez objave obavještenja.</w:t>
      </w:r>
      <w:r>
        <w:rPr>
          <w:rStyle w:val="FootnoteReference"/>
          <w:rFonts w:cs="Times New Roman"/>
          <w:color w:val="000000"/>
          <w:lang w:val="hr-HR" w:eastAsia="bs-Latn-BA"/>
        </w:rPr>
        <w:footnoteReference w:id="2"/>
      </w:r>
      <w:r>
        <w:rPr>
          <w:rFonts w:cs="Times New Roman"/>
          <w:color w:val="000000"/>
          <w:lang w:val="hr-HR" w:eastAsia="bs-Latn-BA"/>
        </w:rPr>
        <w:t xml:space="preserve"> U odnosu na broj registrovanih</w:t>
      </w:r>
      <w:r w:rsidR="00BA1F5B">
        <w:rPr>
          <w:rFonts w:cs="Times New Roman"/>
          <w:color w:val="000000"/>
          <w:lang w:val="hr-HR" w:eastAsia="bs-Latn-BA"/>
        </w:rPr>
        <w:t xml:space="preserve"> ugovornih organa na Portalu ja</w:t>
      </w:r>
      <w:r>
        <w:rPr>
          <w:rFonts w:cs="Times New Roman"/>
          <w:color w:val="000000"/>
          <w:lang w:val="hr-HR" w:eastAsia="bs-Latn-BA"/>
        </w:rPr>
        <w:t xml:space="preserve">vnih nabavki, </w:t>
      </w:r>
      <w:r w:rsidR="005F280F">
        <w:rPr>
          <w:rFonts w:cs="Times New Roman"/>
          <w:color w:val="000000"/>
          <w:lang w:val="hr-HR" w:eastAsia="bs-Latn-BA"/>
        </w:rPr>
        <w:t xml:space="preserve">na dan 31.12.2019. godine, </w:t>
      </w:r>
      <w:r w:rsidR="00BA1F5B">
        <w:rPr>
          <w:rFonts w:cs="Times New Roman"/>
          <w:color w:val="000000"/>
          <w:lang w:val="hr-HR" w:eastAsia="bs-Latn-BA"/>
        </w:rPr>
        <w:t xml:space="preserve">(2..673 registrova ugovorna organa), </w:t>
      </w:r>
      <w:r w:rsidR="005F280F">
        <w:rPr>
          <w:rFonts w:cs="Times New Roman"/>
          <w:color w:val="000000"/>
          <w:lang w:val="hr-HR" w:eastAsia="bs-Latn-BA"/>
        </w:rPr>
        <w:t xml:space="preserve">prosječan broj dodjeljenih ugovora putem pregovaračkog postupka bez objave obavještenja </w:t>
      </w:r>
      <w:r w:rsidR="00BA1F5B">
        <w:rPr>
          <w:rFonts w:cs="Times New Roman"/>
          <w:color w:val="000000"/>
          <w:lang w:val="hr-HR" w:eastAsia="bs-Latn-BA"/>
        </w:rPr>
        <w:t xml:space="preserve">po ugovornom organu je 0,57 ugovora. </w:t>
      </w:r>
      <w:r w:rsidR="001C36F9">
        <w:rPr>
          <w:rFonts w:cs="Times New Roman"/>
          <w:color w:val="000000"/>
          <w:lang w:val="hr-HR" w:eastAsia="bs-Latn-BA"/>
        </w:rPr>
        <w:t xml:space="preserve">Prosječan broj primljenih ponuda u pregovaračkom postupku </w:t>
      </w:r>
      <w:r w:rsidR="001C36F9">
        <w:rPr>
          <w:rFonts w:cs="Times New Roman"/>
          <w:color w:val="000000"/>
          <w:lang w:val="hr-HR" w:eastAsia="bs-Latn-BA"/>
        </w:rPr>
        <w:lastRenderedPageBreak/>
        <w:t>bez objave obavještenja je 1,07 ponuda po postupku.</w:t>
      </w:r>
      <w:r w:rsidR="00E036A8">
        <w:rPr>
          <w:rFonts w:cs="Times New Roman"/>
          <w:color w:val="000000"/>
          <w:lang w:val="hr-HR" w:eastAsia="bs-Latn-BA"/>
        </w:rPr>
        <w:t xml:space="preserve"> Na 1546 dodjeljenih ugovora, izjavljene su 2 žalbe, i to u slučajevima gdje je bila samo jedna ponuda.</w:t>
      </w:r>
    </w:p>
    <w:p w:rsidR="00BA1F5B" w:rsidRDefault="00BA1F5B" w:rsidP="003E4674">
      <w:pPr>
        <w:spacing w:after="0" w:line="240" w:lineRule="auto"/>
        <w:jc w:val="both"/>
        <w:rPr>
          <w:rFonts w:cs="Times New Roman"/>
          <w:color w:val="000000"/>
          <w:lang w:val="hr-HR" w:eastAsia="bs-Latn-BA"/>
        </w:rPr>
      </w:pPr>
    </w:p>
    <w:p w:rsidR="00BA1F5B" w:rsidRDefault="00BA1F5B" w:rsidP="003E4674">
      <w:pPr>
        <w:spacing w:after="0" w:line="240" w:lineRule="auto"/>
        <w:jc w:val="both"/>
        <w:rPr>
          <w:rFonts w:cs="Times New Roman"/>
          <w:color w:val="000000"/>
          <w:lang w:val="hr-HR" w:eastAsia="bs-Latn-BA"/>
        </w:rPr>
      </w:pPr>
      <w:r>
        <w:rPr>
          <w:rFonts w:cs="Times New Roman"/>
          <w:color w:val="000000"/>
          <w:lang w:val="hr-HR" w:eastAsia="bs-Latn-BA"/>
        </w:rPr>
        <w:t xml:space="preserve">Daljom analizom podataka vezano za pregovarački postupak bez objave obavještenja utvrđeno je da se pregovarački postupci bez objave obavještenja </w:t>
      </w:r>
      <w:r w:rsidR="00790820">
        <w:rPr>
          <w:rFonts w:cs="Times New Roman"/>
          <w:color w:val="000000"/>
          <w:lang w:val="hr-HR" w:eastAsia="bs-Latn-BA"/>
        </w:rPr>
        <w:t>za nabavke ve</w:t>
      </w:r>
      <w:r w:rsidR="004914AC">
        <w:rPr>
          <w:rFonts w:cs="Times New Roman"/>
          <w:color w:val="000000"/>
          <w:lang w:val="hr-HR" w:eastAsia="bs-Latn-BA"/>
        </w:rPr>
        <w:t>ćih</w:t>
      </w:r>
      <w:r w:rsidR="00790820">
        <w:rPr>
          <w:rFonts w:cs="Times New Roman"/>
          <w:color w:val="000000"/>
          <w:lang w:val="hr-HR" w:eastAsia="bs-Latn-BA"/>
        </w:rPr>
        <w:t xml:space="preserve"> vrijednosti u većem broju slučajeva</w:t>
      </w:r>
      <w:r>
        <w:rPr>
          <w:rFonts w:cs="Times New Roman"/>
          <w:color w:val="000000"/>
          <w:lang w:val="hr-HR" w:eastAsia="bs-Latn-BA"/>
        </w:rPr>
        <w:t xml:space="preserve"> </w:t>
      </w:r>
      <w:r w:rsidR="00F0047D">
        <w:rPr>
          <w:rFonts w:cs="Times New Roman"/>
          <w:color w:val="000000"/>
          <w:lang w:val="hr-HR" w:eastAsia="bs-Latn-BA"/>
        </w:rPr>
        <w:t>koriste u energetskom sektoru (</w:t>
      </w:r>
      <w:r>
        <w:rPr>
          <w:rFonts w:cs="Times New Roman"/>
          <w:color w:val="000000"/>
          <w:lang w:val="hr-HR" w:eastAsia="bs-Latn-BA"/>
        </w:rPr>
        <w:t>elektroprivrede, rudnici)</w:t>
      </w:r>
      <w:r w:rsidR="00F0047D">
        <w:rPr>
          <w:rFonts w:cs="Times New Roman"/>
          <w:color w:val="000000"/>
          <w:lang w:val="hr-HR" w:eastAsia="bs-Latn-BA"/>
        </w:rPr>
        <w:t xml:space="preserve"> </w:t>
      </w:r>
      <w:r>
        <w:rPr>
          <w:rFonts w:cs="Times New Roman"/>
          <w:color w:val="000000"/>
          <w:lang w:val="hr-HR" w:eastAsia="bs-Latn-BA"/>
        </w:rPr>
        <w:t xml:space="preserve"> i zdravstvenom sektoru / zavodi </w:t>
      </w:r>
      <w:r w:rsidR="00F0047D">
        <w:rPr>
          <w:rFonts w:cs="Times New Roman"/>
          <w:color w:val="000000"/>
          <w:lang w:val="hr-HR" w:eastAsia="bs-Latn-BA"/>
        </w:rPr>
        <w:t xml:space="preserve">/ fondovi </w:t>
      </w:r>
      <w:r>
        <w:rPr>
          <w:rFonts w:cs="Times New Roman"/>
          <w:color w:val="000000"/>
          <w:lang w:val="hr-HR" w:eastAsia="bs-Latn-BA"/>
        </w:rPr>
        <w:t xml:space="preserve">zdravstvenog </w:t>
      </w:r>
      <w:r w:rsidR="00F0047D">
        <w:rPr>
          <w:rFonts w:cs="Times New Roman"/>
          <w:color w:val="000000"/>
          <w:lang w:val="hr-HR" w:eastAsia="bs-Latn-BA"/>
        </w:rPr>
        <w:t xml:space="preserve">osiguranja, klinički centri). </w:t>
      </w:r>
    </w:p>
    <w:p w:rsidR="001C36F9" w:rsidRDefault="001C36F9" w:rsidP="003E4674">
      <w:pPr>
        <w:spacing w:after="0" w:line="240" w:lineRule="auto"/>
        <w:jc w:val="both"/>
        <w:rPr>
          <w:rFonts w:cs="Times New Roman"/>
          <w:color w:val="000000"/>
          <w:lang w:val="hr-HR" w:eastAsia="bs-Latn-BA"/>
        </w:rPr>
      </w:pPr>
    </w:p>
    <w:p w:rsidR="00692150" w:rsidRDefault="00F76E23" w:rsidP="00692150">
      <w:pPr>
        <w:tabs>
          <w:tab w:val="left" w:pos="2085"/>
        </w:tabs>
        <w:spacing w:after="0" w:line="240" w:lineRule="auto"/>
        <w:jc w:val="center"/>
        <w:rPr>
          <w:rFonts w:cs="Times New Roman"/>
          <w:b/>
          <w:noProof/>
          <w:color w:val="000000"/>
          <w:lang w:eastAsia="bs-Latn-BA"/>
        </w:rPr>
      </w:pPr>
      <w:r>
        <w:rPr>
          <w:noProof/>
          <w:lang w:eastAsia="bs-Latn-BA"/>
        </w:rPr>
        <w:drawing>
          <wp:inline distT="0" distB="0" distL="0" distR="0" wp14:anchorId="322DF128" wp14:editId="5C1CC987">
            <wp:extent cx="4391025" cy="1895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B4629" w:rsidRDefault="006B4629" w:rsidP="00692150">
      <w:pPr>
        <w:tabs>
          <w:tab w:val="left" w:pos="2085"/>
        </w:tabs>
        <w:spacing w:after="0" w:line="240" w:lineRule="auto"/>
        <w:jc w:val="center"/>
        <w:rPr>
          <w:rFonts w:cs="Times New Roman"/>
          <w:b/>
          <w:noProof/>
          <w:color w:val="000000"/>
          <w:lang w:eastAsia="bs-Latn-BA"/>
        </w:rPr>
      </w:pPr>
    </w:p>
    <w:p w:rsidR="00DE2848" w:rsidRDefault="00DE2848" w:rsidP="0005520C">
      <w:pPr>
        <w:spacing w:after="0" w:line="240" w:lineRule="auto"/>
        <w:jc w:val="center"/>
        <w:rPr>
          <w:rFonts w:cs="Times New Roman"/>
          <w:b/>
          <w:color w:val="000000"/>
          <w:lang w:val="hr-HR" w:eastAsia="bs-Latn-BA"/>
        </w:rPr>
      </w:pPr>
    </w:p>
    <w:p w:rsidR="00F773AF" w:rsidRDefault="00515B07" w:rsidP="006B4629">
      <w:pPr>
        <w:spacing w:after="0" w:line="240" w:lineRule="auto"/>
        <w:jc w:val="both"/>
        <w:rPr>
          <w:rFonts w:cs="Times New Roman"/>
          <w:color w:val="000000"/>
          <w:lang w:val="hr-HR" w:eastAsia="bs-Latn-BA"/>
        </w:rPr>
      </w:pPr>
      <w:r w:rsidRPr="00515B07">
        <w:rPr>
          <w:rFonts w:cs="Times New Roman"/>
          <w:color w:val="000000"/>
          <w:lang w:val="hr-HR" w:eastAsia="bs-Latn-BA"/>
        </w:rPr>
        <w:t xml:space="preserve">Posmatranjem </w:t>
      </w:r>
      <w:r>
        <w:rPr>
          <w:rFonts w:cs="Times New Roman"/>
          <w:color w:val="000000"/>
          <w:lang w:val="hr-HR" w:eastAsia="bs-Latn-BA"/>
        </w:rPr>
        <w:t xml:space="preserve">pregovaračkih postupaka bez objave obavještenja po predmetu nabavke, </w:t>
      </w:r>
      <w:r w:rsidR="00F76E23">
        <w:rPr>
          <w:rFonts w:cs="Times New Roman"/>
          <w:color w:val="000000"/>
          <w:lang w:val="hr-HR" w:eastAsia="bs-Latn-BA"/>
        </w:rPr>
        <w:t>uočava se da preovladavaju usluge</w:t>
      </w:r>
      <w:r w:rsidR="006B4629">
        <w:rPr>
          <w:rFonts w:cs="Times New Roman"/>
          <w:color w:val="000000"/>
          <w:lang w:val="hr-HR" w:eastAsia="bs-Latn-BA"/>
        </w:rPr>
        <w:t xml:space="preserve">. </w:t>
      </w:r>
      <w:r w:rsidR="00F76E23">
        <w:rPr>
          <w:rFonts w:cs="Times New Roman"/>
          <w:color w:val="000000"/>
          <w:lang w:val="hr-HR" w:eastAsia="bs-Latn-BA"/>
        </w:rPr>
        <w:t>Analizom predmeta nabavke usluga uočeno je da nabavka nadogradnja i održavanje softwera je najzastupljenija kod dodj</w:t>
      </w:r>
      <w:r w:rsidR="00F773AF">
        <w:rPr>
          <w:rFonts w:cs="Times New Roman"/>
          <w:color w:val="000000"/>
          <w:lang w:val="hr-HR" w:eastAsia="bs-Latn-BA"/>
        </w:rPr>
        <w:t>e</w:t>
      </w:r>
      <w:r w:rsidR="00F76E23">
        <w:rPr>
          <w:rFonts w:cs="Times New Roman"/>
          <w:color w:val="000000"/>
          <w:lang w:val="hr-HR" w:eastAsia="bs-Latn-BA"/>
        </w:rPr>
        <w:t xml:space="preserve">le ugovora putem pregovaračkog postupka bez objave obavještenja. </w:t>
      </w:r>
    </w:p>
    <w:p w:rsidR="00BA1F5B" w:rsidRDefault="00BA1F5B" w:rsidP="006B4629">
      <w:pPr>
        <w:spacing w:after="0" w:line="240" w:lineRule="auto"/>
        <w:jc w:val="both"/>
        <w:rPr>
          <w:rFonts w:cs="Times New Roman"/>
          <w:color w:val="000000"/>
          <w:lang w:val="hr-HR" w:eastAsia="bs-Latn-BA"/>
        </w:rPr>
      </w:pPr>
    </w:p>
    <w:p w:rsidR="00E471AE" w:rsidRDefault="00207EA0" w:rsidP="00FA352A">
      <w:pPr>
        <w:pStyle w:val="ListParagraph"/>
        <w:numPr>
          <w:ilvl w:val="0"/>
          <w:numId w:val="16"/>
        </w:numPr>
        <w:spacing w:after="0" w:line="240" w:lineRule="auto"/>
        <w:rPr>
          <w:rFonts w:cs="Times New Roman"/>
          <w:b/>
          <w:color w:val="000000"/>
          <w:lang w:val="hr-HR" w:eastAsia="bs-Latn-BA"/>
        </w:rPr>
      </w:pPr>
      <w:r w:rsidRPr="00FA352A">
        <w:rPr>
          <w:rFonts w:cs="Times New Roman"/>
          <w:b/>
          <w:color w:val="000000"/>
          <w:lang w:val="hr-HR" w:eastAsia="bs-Latn-BA"/>
        </w:rPr>
        <w:t xml:space="preserve">Učešće </w:t>
      </w:r>
      <w:r w:rsidR="00B42ECB">
        <w:rPr>
          <w:rFonts w:cs="Times New Roman"/>
          <w:b/>
          <w:color w:val="000000"/>
          <w:lang w:val="hr-HR" w:eastAsia="bs-Latn-BA"/>
        </w:rPr>
        <w:t>broja pregovarački</w:t>
      </w:r>
      <w:r w:rsidRPr="00FA352A">
        <w:rPr>
          <w:rFonts w:cs="Times New Roman"/>
          <w:b/>
          <w:color w:val="000000"/>
          <w:lang w:val="hr-HR" w:eastAsia="bs-Latn-BA"/>
        </w:rPr>
        <w:t xml:space="preserve"> postupka bez objave obavještenja po nivoima vlasti</w:t>
      </w:r>
    </w:p>
    <w:p w:rsidR="00207EA0" w:rsidRDefault="00207EA0" w:rsidP="00DE2848">
      <w:pPr>
        <w:spacing w:after="0" w:line="240" w:lineRule="auto"/>
        <w:jc w:val="both"/>
        <w:rPr>
          <w:rFonts w:cs="Times New Roman"/>
          <w:b/>
          <w:color w:val="000000"/>
          <w:lang w:val="hr-HR" w:eastAsia="bs-Latn-BA"/>
        </w:rPr>
      </w:pPr>
    </w:p>
    <w:p w:rsidR="00E471AE" w:rsidRDefault="00E471AE" w:rsidP="009A2581">
      <w:pPr>
        <w:spacing w:after="0" w:line="240" w:lineRule="auto"/>
        <w:jc w:val="center"/>
        <w:rPr>
          <w:rFonts w:cs="Times New Roman"/>
          <w:b/>
          <w:color w:val="000000"/>
          <w:lang w:val="hr-HR" w:eastAsia="bs-Latn-BA"/>
        </w:rPr>
      </w:pPr>
    </w:p>
    <w:p w:rsidR="00E471AE" w:rsidRDefault="009A2581" w:rsidP="009A2581">
      <w:pPr>
        <w:spacing w:after="0" w:line="240" w:lineRule="auto"/>
        <w:jc w:val="center"/>
        <w:rPr>
          <w:rFonts w:cs="Times New Roman"/>
          <w:b/>
          <w:color w:val="000000"/>
          <w:lang w:val="hr-HR" w:eastAsia="bs-Latn-BA"/>
        </w:rPr>
      </w:pPr>
      <w:r>
        <w:rPr>
          <w:noProof/>
          <w:lang w:eastAsia="bs-Latn-BA"/>
        </w:rPr>
        <w:drawing>
          <wp:inline distT="0" distB="0" distL="0" distR="0" wp14:anchorId="7B251E90" wp14:editId="5A12732C">
            <wp:extent cx="4572000" cy="25241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00B7" w:rsidRDefault="000500B7" w:rsidP="00DE2848">
      <w:pPr>
        <w:spacing w:after="0" w:line="240" w:lineRule="auto"/>
        <w:jc w:val="both"/>
        <w:rPr>
          <w:rFonts w:cs="Times New Roman"/>
          <w:b/>
          <w:color w:val="000000"/>
          <w:lang w:val="hr-HR" w:eastAsia="bs-Latn-BA"/>
        </w:rPr>
      </w:pPr>
    </w:p>
    <w:p w:rsidR="00DE2848" w:rsidRDefault="007A19A3" w:rsidP="00B42ECB">
      <w:pPr>
        <w:spacing w:after="0" w:line="240" w:lineRule="auto"/>
        <w:jc w:val="center"/>
        <w:rPr>
          <w:rFonts w:cs="Times New Roman"/>
          <w:b/>
          <w:color w:val="000000"/>
          <w:lang w:val="hr-HR" w:eastAsia="bs-Latn-BA"/>
        </w:rPr>
      </w:pPr>
      <w:r>
        <w:rPr>
          <w:noProof/>
          <w:lang w:eastAsia="bs-Latn-BA"/>
        </w:rPr>
        <w:lastRenderedPageBreak/>
        <w:drawing>
          <wp:inline distT="0" distB="0" distL="0" distR="0" wp14:anchorId="1232B079" wp14:editId="11402741">
            <wp:extent cx="4572000" cy="26003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2ECB" w:rsidRDefault="00B42ECB" w:rsidP="00B42ECB">
      <w:pPr>
        <w:spacing w:after="0" w:line="240" w:lineRule="auto"/>
        <w:jc w:val="center"/>
        <w:rPr>
          <w:rFonts w:cs="Times New Roman"/>
          <w:b/>
          <w:color w:val="000000"/>
          <w:lang w:val="hr-HR" w:eastAsia="bs-Latn-BA"/>
        </w:rPr>
      </w:pPr>
    </w:p>
    <w:p w:rsidR="00B42ECB" w:rsidRDefault="00B42ECB" w:rsidP="00B42ECB">
      <w:pPr>
        <w:spacing w:after="0" w:line="240" w:lineRule="auto"/>
        <w:jc w:val="center"/>
        <w:rPr>
          <w:rFonts w:cs="Times New Roman"/>
          <w:b/>
          <w:color w:val="000000"/>
          <w:lang w:val="hr-HR" w:eastAsia="bs-Latn-BA"/>
        </w:rPr>
      </w:pPr>
    </w:p>
    <w:tbl>
      <w:tblPr>
        <w:tblW w:w="9195" w:type="dxa"/>
        <w:tblInd w:w="93" w:type="dxa"/>
        <w:tblLook w:val="04A0" w:firstRow="1" w:lastRow="0" w:firstColumn="1" w:lastColumn="0" w:noHBand="0" w:noVBand="1"/>
      </w:tblPr>
      <w:tblGrid>
        <w:gridCol w:w="1420"/>
        <w:gridCol w:w="1052"/>
        <w:gridCol w:w="1200"/>
        <w:gridCol w:w="1163"/>
        <w:gridCol w:w="962"/>
        <w:gridCol w:w="996"/>
        <w:gridCol w:w="1172"/>
        <w:gridCol w:w="1230"/>
      </w:tblGrid>
      <w:tr w:rsidR="00B42ECB" w:rsidRPr="00B42ECB" w:rsidTr="00B42ECB">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Bosna i Hercegovina</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Brčko Distrikt BiH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Federacija BiH</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Republika Srpska</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 xml:space="preserve">Kantoni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 xml:space="preserve">Grad </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Opštine</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Total</w:t>
            </w:r>
          </w:p>
        </w:tc>
      </w:tr>
      <w:tr w:rsidR="00B42ECB" w:rsidRPr="00B42ECB" w:rsidTr="00B42E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85</w:t>
            </w:r>
          </w:p>
        </w:tc>
        <w:tc>
          <w:tcPr>
            <w:tcW w:w="105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46</w:t>
            </w:r>
          </w:p>
        </w:tc>
        <w:tc>
          <w:tcPr>
            <w:tcW w:w="120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268</w:t>
            </w:r>
          </w:p>
        </w:tc>
        <w:tc>
          <w:tcPr>
            <w:tcW w:w="1163"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415</w:t>
            </w:r>
          </w:p>
        </w:tc>
        <w:tc>
          <w:tcPr>
            <w:tcW w:w="96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231</w:t>
            </w:r>
          </w:p>
        </w:tc>
        <w:tc>
          <w:tcPr>
            <w:tcW w:w="996"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160</w:t>
            </w:r>
          </w:p>
        </w:tc>
        <w:tc>
          <w:tcPr>
            <w:tcW w:w="117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341</w:t>
            </w:r>
          </w:p>
        </w:tc>
        <w:tc>
          <w:tcPr>
            <w:tcW w:w="123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7A19A3">
            <w:pPr>
              <w:spacing w:after="0" w:line="240" w:lineRule="auto"/>
              <w:jc w:val="center"/>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1546</w:t>
            </w:r>
          </w:p>
        </w:tc>
      </w:tr>
      <w:tr w:rsidR="00B42ECB" w:rsidRPr="00B42ECB" w:rsidTr="00B42E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5,50%</w:t>
            </w:r>
          </w:p>
        </w:tc>
        <w:tc>
          <w:tcPr>
            <w:tcW w:w="105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2,97%</w:t>
            </w:r>
          </w:p>
        </w:tc>
        <w:tc>
          <w:tcPr>
            <w:tcW w:w="120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17,33%</w:t>
            </w:r>
          </w:p>
        </w:tc>
        <w:tc>
          <w:tcPr>
            <w:tcW w:w="1163"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26,84%</w:t>
            </w:r>
          </w:p>
        </w:tc>
        <w:tc>
          <w:tcPr>
            <w:tcW w:w="96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14,94%</w:t>
            </w:r>
          </w:p>
        </w:tc>
        <w:tc>
          <w:tcPr>
            <w:tcW w:w="996"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10,35%</w:t>
            </w:r>
          </w:p>
        </w:tc>
        <w:tc>
          <w:tcPr>
            <w:tcW w:w="1172"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22,07%</w:t>
            </w:r>
          </w:p>
        </w:tc>
        <w:tc>
          <w:tcPr>
            <w:tcW w:w="1230" w:type="dxa"/>
            <w:tcBorders>
              <w:top w:val="nil"/>
              <w:left w:val="nil"/>
              <w:bottom w:val="single" w:sz="4" w:space="0" w:color="auto"/>
              <w:right w:val="single" w:sz="4" w:space="0" w:color="auto"/>
            </w:tcBorders>
            <w:shd w:val="clear" w:color="auto" w:fill="auto"/>
            <w:noWrap/>
            <w:vAlign w:val="bottom"/>
            <w:hideMark/>
          </w:tcPr>
          <w:p w:rsidR="00B42ECB" w:rsidRPr="00B42ECB" w:rsidRDefault="00B42ECB" w:rsidP="00B42ECB">
            <w:pPr>
              <w:spacing w:after="0" w:line="240" w:lineRule="auto"/>
              <w:jc w:val="right"/>
              <w:rPr>
                <w:rFonts w:ascii="Calibri" w:eastAsia="Times New Roman" w:hAnsi="Calibri" w:cs="Times New Roman"/>
                <w:color w:val="000000"/>
                <w:lang w:eastAsia="bs-Latn-BA"/>
              </w:rPr>
            </w:pPr>
            <w:r w:rsidRPr="00B42ECB">
              <w:rPr>
                <w:rFonts w:ascii="Calibri" w:eastAsia="Times New Roman" w:hAnsi="Calibri" w:cs="Times New Roman"/>
                <w:color w:val="000000"/>
                <w:lang w:eastAsia="bs-Latn-BA"/>
              </w:rPr>
              <w:t>100,00%</w:t>
            </w:r>
          </w:p>
        </w:tc>
      </w:tr>
    </w:tbl>
    <w:p w:rsidR="00B42ECB" w:rsidRDefault="00B42ECB" w:rsidP="00B42ECB">
      <w:pPr>
        <w:spacing w:after="0" w:line="240" w:lineRule="auto"/>
        <w:jc w:val="center"/>
        <w:rPr>
          <w:rFonts w:cs="Times New Roman"/>
          <w:b/>
          <w:color w:val="000000"/>
          <w:lang w:val="hr-HR" w:eastAsia="bs-Latn-BA"/>
        </w:rPr>
      </w:pPr>
    </w:p>
    <w:p w:rsidR="00B42ECB" w:rsidRPr="00F0047D" w:rsidRDefault="00B42ECB" w:rsidP="00F0047D">
      <w:pPr>
        <w:spacing w:after="0" w:line="240" w:lineRule="auto"/>
        <w:rPr>
          <w:rFonts w:cs="Times New Roman"/>
          <w:color w:val="000000"/>
          <w:lang w:val="hr-HR" w:eastAsia="bs-Latn-BA"/>
        </w:rPr>
      </w:pPr>
    </w:p>
    <w:p w:rsidR="005C6212" w:rsidRPr="00FA352A" w:rsidRDefault="005C6212" w:rsidP="00B42ECB">
      <w:pPr>
        <w:pStyle w:val="ListParagraph"/>
        <w:numPr>
          <w:ilvl w:val="0"/>
          <w:numId w:val="16"/>
        </w:numPr>
        <w:spacing w:after="0" w:line="240" w:lineRule="auto"/>
        <w:rPr>
          <w:rFonts w:cs="Times New Roman"/>
          <w:b/>
          <w:color w:val="000000"/>
          <w:lang w:val="hr-HR" w:eastAsia="bs-Latn-BA"/>
        </w:rPr>
      </w:pPr>
      <w:r w:rsidRPr="00FA352A">
        <w:rPr>
          <w:rFonts w:cs="Times New Roman"/>
          <w:b/>
          <w:color w:val="000000"/>
          <w:lang w:val="hr-HR" w:eastAsia="bs-Latn-BA"/>
        </w:rPr>
        <w:t>Učešće pregovaračkih postupaka bez objave obavještenja po članovima Zakona o javnim nabavkama</w:t>
      </w:r>
    </w:p>
    <w:p w:rsidR="000500B7" w:rsidRDefault="000500B7" w:rsidP="002D1A94">
      <w:pPr>
        <w:spacing w:after="0" w:line="240" w:lineRule="auto"/>
        <w:jc w:val="center"/>
        <w:rPr>
          <w:rFonts w:cs="Times New Roman"/>
          <w:color w:val="000000"/>
          <w:lang w:val="hr-HR" w:eastAsia="bs-Latn-BA"/>
        </w:rPr>
      </w:pPr>
    </w:p>
    <w:p w:rsidR="00EF60C0" w:rsidRDefault="008C2CBC" w:rsidP="00EF60C0">
      <w:pPr>
        <w:spacing w:after="0" w:line="240" w:lineRule="auto"/>
        <w:jc w:val="center"/>
        <w:rPr>
          <w:rFonts w:cs="Times New Roman"/>
          <w:color w:val="000000"/>
          <w:lang w:val="hr-HR" w:eastAsia="bs-Latn-BA"/>
        </w:rPr>
      </w:pPr>
      <w:r w:rsidRPr="008C2CBC">
        <w:rPr>
          <w:rFonts w:cs="Times New Roman"/>
          <w:noProof/>
          <w:color w:val="000000"/>
          <w:lang w:eastAsia="bs-Latn-BA"/>
        </w:rPr>
        <w:drawing>
          <wp:inline distT="0" distB="0" distL="0" distR="0" wp14:anchorId="7DE1C987" wp14:editId="59FD4544">
            <wp:extent cx="4810125" cy="28098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60C0" w:rsidRDefault="002B5F36" w:rsidP="00EF60C0">
      <w:pPr>
        <w:spacing w:after="0" w:line="240" w:lineRule="auto"/>
        <w:jc w:val="center"/>
        <w:rPr>
          <w:rFonts w:cs="Times New Roman"/>
          <w:color w:val="000000"/>
          <w:lang w:val="hr-HR" w:eastAsia="bs-Latn-BA"/>
        </w:rPr>
      </w:pPr>
      <w:r w:rsidRPr="00FA352A">
        <w:rPr>
          <w:noProof/>
          <w:lang w:eastAsia="bs-Latn-BA"/>
        </w:rPr>
        <w:lastRenderedPageBreak/>
        <w:drawing>
          <wp:inline distT="0" distB="0" distL="0" distR="0" wp14:anchorId="05BFC51D" wp14:editId="28F9A435">
            <wp:extent cx="4000500" cy="19716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60C0" w:rsidRDefault="00EF60C0" w:rsidP="00EF60C0">
      <w:pPr>
        <w:spacing w:after="0" w:line="240" w:lineRule="auto"/>
        <w:jc w:val="center"/>
        <w:rPr>
          <w:rFonts w:cs="Times New Roman"/>
          <w:color w:val="000000"/>
          <w:lang w:val="hr-HR" w:eastAsia="bs-Latn-BA"/>
        </w:rPr>
      </w:pPr>
    </w:p>
    <w:p w:rsidR="00EF60C0" w:rsidRDefault="00EF60C0" w:rsidP="00EF60C0">
      <w:pPr>
        <w:spacing w:after="0" w:line="240" w:lineRule="auto"/>
        <w:jc w:val="center"/>
        <w:rPr>
          <w:rFonts w:cs="Times New Roman"/>
          <w:color w:val="000000"/>
          <w:lang w:val="hr-HR" w:eastAsia="bs-Latn-BA"/>
        </w:rPr>
      </w:pPr>
    </w:p>
    <w:p w:rsidR="007A19A3" w:rsidRDefault="007A19A3" w:rsidP="00EF60C0">
      <w:pPr>
        <w:spacing w:after="0" w:line="240" w:lineRule="auto"/>
        <w:jc w:val="center"/>
        <w:rPr>
          <w:rFonts w:cs="Times New Roman"/>
          <w:color w:val="000000"/>
          <w:lang w:val="hr-HR" w:eastAsia="bs-Latn-BA"/>
        </w:rPr>
      </w:pPr>
    </w:p>
    <w:p w:rsidR="007A19A3" w:rsidRDefault="007A19A3" w:rsidP="00EF60C0">
      <w:pPr>
        <w:spacing w:after="0" w:line="240" w:lineRule="auto"/>
        <w:jc w:val="center"/>
        <w:rPr>
          <w:rFonts w:cs="Times New Roman"/>
          <w:color w:val="000000"/>
          <w:lang w:val="hr-HR" w:eastAsia="bs-Latn-BA"/>
        </w:rPr>
      </w:pPr>
      <w:r>
        <w:rPr>
          <w:noProof/>
          <w:lang w:eastAsia="bs-Latn-BA"/>
        </w:rPr>
        <w:drawing>
          <wp:inline distT="0" distB="0" distL="0" distR="0" wp14:anchorId="206EA631" wp14:editId="4FEA5D3F">
            <wp:extent cx="4572000" cy="26479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19A3" w:rsidRDefault="007A19A3" w:rsidP="00EF60C0">
      <w:pPr>
        <w:spacing w:after="0" w:line="240" w:lineRule="auto"/>
        <w:jc w:val="center"/>
        <w:rPr>
          <w:rFonts w:cs="Times New Roman"/>
          <w:color w:val="000000"/>
          <w:lang w:val="hr-HR" w:eastAsia="bs-Latn-BA"/>
        </w:rPr>
      </w:pPr>
    </w:p>
    <w:p w:rsidR="007A19A3" w:rsidRDefault="007A19A3" w:rsidP="00EF60C0">
      <w:pPr>
        <w:spacing w:after="0" w:line="240" w:lineRule="auto"/>
        <w:jc w:val="center"/>
        <w:rPr>
          <w:rFonts w:cs="Times New Roman"/>
          <w:color w:val="000000"/>
          <w:lang w:val="hr-HR" w:eastAsia="bs-Latn-BA"/>
        </w:rPr>
      </w:pPr>
    </w:p>
    <w:tbl>
      <w:tblPr>
        <w:tblW w:w="7944" w:type="dxa"/>
        <w:jc w:val="center"/>
        <w:tblLook w:val="04A0" w:firstRow="1" w:lastRow="0" w:firstColumn="1" w:lastColumn="0" w:noHBand="0" w:noVBand="1"/>
      </w:tblPr>
      <w:tblGrid>
        <w:gridCol w:w="1106"/>
        <w:gridCol w:w="1640"/>
        <w:gridCol w:w="1730"/>
        <w:gridCol w:w="1717"/>
        <w:gridCol w:w="1751"/>
      </w:tblGrid>
      <w:tr w:rsidR="002B5F36" w:rsidRPr="00FA352A" w:rsidTr="007A19A3">
        <w:trPr>
          <w:trHeight w:val="255"/>
          <w:jc w:val="center"/>
        </w:trPr>
        <w:tc>
          <w:tcPr>
            <w:tcW w:w="11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p>
        </w:tc>
        <w:tc>
          <w:tcPr>
            <w:tcW w:w="1640" w:type="dxa"/>
            <w:tcBorders>
              <w:top w:val="single" w:sz="8" w:space="0" w:color="auto"/>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 xml:space="preserve">Clan 21 stav (1) </w:t>
            </w:r>
          </w:p>
        </w:tc>
        <w:tc>
          <w:tcPr>
            <w:tcW w:w="1730" w:type="dxa"/>
            <w:tcBorders>
              <w:top w:val="single" w:sz="8" w:space="0" w:color="auto"/>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center"/>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Clan 22. stav (1)</w:t>
            </w:r>
          </w:p>
        </w:tc>
        <w:tc>
          <w:tcPr>
            <w:tcW w:w="1717" w:type="dxa"/>
            <w:tcBorders>
              <w:top w:val="single" w:sz="8" w:space="0" w:color="auto"/>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Clan 23. stav (1)</w:t>
            </w:r>
          </w:p>
        </w:tc>
        <w:tc>
          <w:tcPr>
            <w:tcW w:w="1751" w:type="dxa"/>
            <w:tcBorders>
              <w:top w:val="single" w:sz="8" w:space="0" w:color="auto"/>
              <w:left w:val="nil"/>
              <w:bottom w:val="single" w:sz="4" w:space="0" w:color="auto"/>
              <w:right w:val="single" w:sz="8"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Clan 24. stav (1)</w:t>
            </w:r>
          </w:p>
        </w:tc>
      </w:tr>
      <w:tr w:rsidR="002B5F36" w:rsidRPr="00FA352A" w:rsidTr="007A19A3">
        <w:trPr>
          <w:trHeight w:val="255"/>
          <w:jc w:val="center"/>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Tacka a)</w:t>
            </w:r>
          </w:p>
        </w:tc>
        <w:tc>
          <w:tcPr>
            <w:tcW w:w="164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226</w:t>
            </w:r>
          </w:p>
        </w:tc>
        <w:tc>
          <w:tcPr>
            <w:tcW w:w="173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3</w:t>
            </w:r>
          </w:p>
        </w:tc>
        <w:tc>
          <w:tcPr>
            <w:tcW w:w="1717"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3</w:t>
            </w:r>
          </w:p>
        </w:tc>
        <w:tc>
          <w:tcPr>
            <w:tcW w:w="1751"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250</w:t>
            </w:r>
          </w:p>
        </w:tc>
      </w:tr>
      <w:tr w:rsidR="002B5F36" w:rsidRPr="00FA352A" w:rsidTr="007A19A3">
        <w:trPr>
          <w:trHeight w:val="255"/>
          <w:jc w:val="center"/>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Tacka b)</w:t>
            </w:r>
          </w:p>
        </w:tc>
        <w:tc>
          <w:tcPr>
            <w:tcW w:w="164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9</w:t>
            </w:r>
          </w:p>
        </w:tc>
        <w:tc>
          <w:tcPr>
            <w:tcW w:w="173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42</w:t>
            </w:r>
          </w:p>
        </w:tc>
        <w:tc>
          <w:tcPr>
            <w:tcW w:w="1717"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48</w:t>
            </w:r>
          </w:p>
        </w:tc>
        <w:tc>
          <w:tcPr>
            <w:tcW w:w="1751"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54</w:t>
            </w:r>
          </w:p>
        </w:tc>
      </w:tr>
      <w:tr w:rsidR="002B5F36" w:rsidRPr="00FA352A" w:rsidTr="007A19A3">
        <w:trPr>
          <w:trHeight w:val="255"/>
          <w:jc w:val="center"/>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Tacka c)</w:t>
            </w:r>
          </w:p>
        </w:tc>
        <w:tc>
          <w:tcPr>
            <w:tcW w:w="164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605</w:t>
            </w:r>
          </w:p>
        </w:tc>
        <w:tc>
          <w:tcPr>
            <w:tcW w:w="173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4</w:t>
            </w:r>
          </w:p>
        </w:tc>
        <w:tc>
          <w:tcPr>
            <w:tcW w:w="1717"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22</w:t>
            </w:r>
          </w:p>
        </w:tc>
        <w:tc>
          <w:tcPr>
            <w:tcW w:w="1751"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255B42">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 </w:t>
            </w:r>
            <w:r>
              <w:rPr>
                <w:rFonts w:ascii="Arial" w:eastAsia="Times New Roman" w:hAnsi="Arial" w:cs="Arial"/>
                <w:color w:val="000000"/>
                <w:sz w:val="20"/>
                <w:szCs w:val="20"/>
                <w:lang w:eastAsia="bs-Latn-BA"/>
              </w:rPr>
              <w:t xml:space="preserve">                        </w:t>
            </w:r>
            <w:r w:rsidR="00255B42">
              <w:rPr>
                <w:rFonts w:ascii="Arial" w:eastAsia="Times New Roman" w:hAnsi="Arial" w:cs="Arial"/>
                <w:color w:val="000000"/>
                <w:sz w:val="20"/>
                <w:szCs w:val="20"/>
                <w:lang w:eastAsia="bs-Latn-BA"/>
              </w:rPr>
              <w:t>-</w:t>
            </w:r>
          </w:p>
        </w:tc>
      </w:tr>
      <w:tr w:rsidR="002B5F36" w:rsidRPr="00FA352A" w:rsidTr="007A19A3">
        <w:trPr>
          <w:trHeight w:val="255"/>
          <w:jc w:val="center"/>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Tacka d)</w:t>
            </w:r>
          </w:p>
        </w:tc>
        <w:tc>
          <w:tcPr>
            <w:tcW w:w="164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276</w:t>
            </w:r>
          </w:p>
        </w:tc>
        <w:tc>
          <w:tcPr>
            <w:tcW w:w="1730"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2</w:t>
            </w:r>
          </w:p>
        </w:tc>
        <w:tc>
          <w:tcPr>
            <w:tcW w:w="1717" w:type="dxa"/>
            <w:tcBorders>
              <w:top w:val="nil"/>
              <w:left w:val="nil"/>
              <w:bottom w:val="single" w:sz="4" w:space="0" w:color="auto"/>
              <w:right w:val="single" w:sz="4" w:space="0" w:color="auto"/>
            </w:tcBorders>
            <w:shd w:val="clear" w:color="auto" w:fill="auto"/>
            <w:noWrap/>
            <w:vAlign w:val="bottom"/>
            <w:hideMark/>
          </w:tcPr>
          <w:p w:rsidR="002B5F36" w:rsidRPr="00FA352A" w:rsidRDefault="002B5F36" w:rsidP="00255B42">
            <w:pPr>
              <w:spacing w:after="0" w:line="240" w:lineRule="auto"/>
              <w:rPr>
                <w:rFonts w:ascii="Arial" w:eastAsia="Times New Roman" w:hAnsi="Arial" w:cs="Arial"/>
                <w:color w:val="000000"/>
                <w:sz w:val="20"/>
                <w:szCs w:val="20"/>
                <w:lang w:eastAsia="bs-Latn-BA"/>
              </w:rPr>
            </w:pPr>
            <w:r>
              <w:rPr>
                <w:rFonts w:ascii="Arial" w:eastAsia="Times New Roman" w:hAnsi="Arial" w:cs="Arial"/>
                <w:color w:val="000000"/>
                <w:sz w:val="20"/>
                <w:szCs w:val="20"/>
                <w:lang w:eastAsia="bs-Latn-BA"/>
              </w:rPr>
              <w:t xml:space="preserve">                        </w:t>
            </w:r>
            <w:r w:rsidRPr="00FA352A">
              <w:rPr>
                <w:rFonts w:ascii="Arial" w:eastAsia="Times New Roman" w:hAnsi="Arial" w:cs="Arial"/>
                <w:color w:val="000000"/>
                <w:sz w:val="20"/>
                <w:szCs w:val="20"/>
                <w:lang w:eastAsia="bs-Latn-BA"/>
              </w:rPr>
              <w:t> </w:t>
            </w:r>
            <w:r w:rsidR="00255B42">
              <w:rPr>
                <w:rFonts w:ascii="Arial" w:eastAsia="Times New Roman" w:hAnsi="Arial" w:cs="Arial"/>
                <w:color w:val="000000"/>
                <w:sz w:val="20"/>
                <w:szCs w:val="20"/>
                <w:lang w:eastAsia="bs-Latn-BA"/>
              </w:rPr>
              <w:t>-</w:t>
            </w:r>
          </w:p>
        </w:tc>
        <w:tc>
          <w:tcPr>
            <w:tcW w:w="1751" w:type="dxa"/>
            <w:tcBorders>
              <w:top w:val="nil"/>
              <w:left w:val="nil"/>
              <w:bottom w:val="single" w:sz="4" w:space="0" w:color="auto"/>
              <w:right w:val="single" w:sz="8" w:space="0" w:color="auto"/>
            </w:tcBorders>
            <w:shd w:val="clear" w:color="auto" w:fill="auto"/>
            <w:noWrap/>
            <w:vAlign w:val="bottom"/>
            <w:hideMark/>
          </w:tcPr>
          <w:p w:rsidR="002B5F36" w:rsidRPr="00FA352A" w:rsidRDefault="002B5F36" w:rsidP="00255B42">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 </w:t>
            </w:r>
            <w:r>
              <w:rPr>
                <w:rFonts w:ascii="Arial" w:eastAsia="Times New Roman" w:hAnsi="Arial" w:cs="Arial"/>
                <w:color w:val="000000"/>
                <w:sz w:val="20"/>
                <w:szCs w:val="20"/>
                <w:lang w:eastAsia="bs-Latn-BA"/>
              </w:rPr>
              <w:t xml:space="preserve">                        </w:t>
            </w:r>
            <w:r w:rsidR="00255B42">
              <w:rPr>
                <w:rFonts w:ascii="Arial" w:eastAsia="Times New Roman" w:hAnsi="Arial" w:cs="Arial"/>
                <w:color w:val="000000"/>
                <w:sz w:val="20"/>
                <w:szCs w:val="20"/>
                <w:lang w:eastAsia="bs-Latn-BA"/>
              </w:rPr>
              <w:t>-</w:t>
            </w:r>
          </w:p>
        </w:tc>
      </w:tr>
      <w:tr w:rsidR="002B5F36" w:rsidRPr="00FA352A" w:rsidTr="007A19A3">
        <w:trPr>
          <w:trHeight w:val="270"/>
          <w:jc w:val="center"/>
        </w:trPr>
        <w:tc>
          <w:tcPr>
            <w:tcW w:w="1106" w:type="dxa"/>
            <w:tcBorders>
              <w:top w:val="nil"/>
              <w:left w:val="single" w:sz="8" w:space="0" w:color="auto"/>
              <w:bottom w:val="single" w:sz="8" w:space="0" w:color="auto"/>
              <w:right w:val="single" w:sz="4" w:space="0" w:color="auto"/>
            </w:tcBorders>
            <w:shd w:val="clear" w:color="auto" w:fill="auto"/>
            <w:noWrap/>
            <w:vAlign w:val="bottom"/>
            <w:hideMark/>
          </w:tcPr>
          <w:p w:rsidR="002B5F36" w:rsidRPr="00FA352A" w:rsidRDefault="002B5F36" w:rsidP="00CD41B8">
            <w:pPr>
              <w:spacing w:after="0" w:line="240" w:lineRule="auto"/>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TOTAL</w:t>
            </w:r>
          </w:p>
        </w:tc>
        <w:tc>
          <w:tcPr>
            <w:tcW w:w="1640" w:type="dxa"/>
            <w:tcBorders>
              <w:top w:val="nil"/>
              <w:left w:val="nil"/>
              <w:bottom w:val="single" w:sz="8"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1.118</w:t>
            </w:r>
          </w:p>
        </w:tc>
        <w:tc>
          <w:tcPr>
            <w:tcW w:w="1730" w:type="dxa"/>
            <w:tcBorders>
              <w:top w:val="nil"/>
              <w:left w:val="nil"/>
              <w:bottom w:val="single" w:sz="8" w:space="0" w:color="auto"/>
              <w:right w:val="single" w:sz="4" w:space="0" w:color="auto"/>
            </w:tcBorders>
            <w:shd w:val="clear" w:color="auto" w:fill="auto"/>
            <w:noWrap/>
            <w:vAlign w:val="bottom"/>
            <w:hideMark/>
          </w:tcPr>
          <w:p w:rsidR="002B5F36" w:rsidRPr="00FA352A" w:rsidRDefault="002B5F36" w:rsidP="007A19A3">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51</w:t>
            </w:r>
          </w:p>
        </w:tc>
        <w:tc>
          <w:tcPr>
            <w:tcW w:w="1717" w:type="dxa"/>
            <w:tcBorders>
              <w:top w:val="nil"/>
              <w:left w:val="nil"/>
              <w:bottom w:val="single" w:sz="8" w:space="0" w:color="auto"/>
              <w:right w:val="single" w:sz="4"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73</w:t>
            </w:r>
          </w:p>
        </w:tc>
        <w:tc>
          <w:tcPr>
            <w:tcW w:w="1751" w:type="dxa"/>
            <w:tcBorders>
              <w:top w:val="nil"/>
              <w:left w:val="nil"/>
              <w:bottom w:val="single" w:sz="8" w:space="0" w:color="auto"/>
              <w:right w:val="single" w:sz="8" w:space="0" w:color="auto"/>
            </w:tcBorders>
            <w:shd w:val="clear" w:color="auto" w:fill="auto"/>
            <w:noWrap/>
            <w:vAlign w:val="bottom"/>
            <w:hideMark/>
          </w:tcPr>
          <w:p w:rsidR="002B5F36" w:rsidRPr="00FA352A" w:rsidRDefault="002B5F36" w:rsidP="00CD41B8">
            <w:pPr>
              <w:spacing w:after="0" w:line="240" w:lineRule="auto"/>
              <w:jc w:val="right"/>
              <w:rPr>
                <w:rFonts w:ascii="Arial" w:eastAsia="Times New Roman" w:hAnsi="Arial" w:cs="Arial"/>
                <w:color w:val="000000"/>
                <w:sz w:val="20"/>
                <w:szCs w:val="20"/>
                <w:lang w:eastAsia="bs-Latn-BA"/>
              </w:rPr>
            </w:pPr>
            <w:r w:rsidRPr="00FA352A">
              <w:rPr>
                <w:rFonts w:ascii="Arial" w:eastAsia="Times New Roman" w:hAnsi="Arial" w:cs="Arial"/>
                <w:color w:val="000000"/>
                <w:sz w:val="20"/>
                <w:szCs w:val="20"/>
                <w:lang w:eastAsia="bs-Latn-BA"/>
              </w:rPr>
              <w:t>304</w:t>
            </w:r>
          </w:p>
        </w:tc>
      </w:tr>
    </w:tbl>
    <w:p w:rsidR="002B5F36" w:rsidRDefault="002B5F36" w:rsidP="00EF60C0">
      <w:pPr>
        <w:spacing w:after="0" w:line="240" w:lineRule="auto"/>
        <w:jc w:val="center"/>
        <w:rPr>
          <w:rFonts w:cs="Times New Roman"/>
          <w:color w:val="000000"/>
          <w:lang w:val="hr-HR" w:eastAsia="bs-Latn-BA"/>
        </w:rPr>
      </w:pPr>
    </w:p>
    <w:p w:rsidR="002B5F36" w:rsidRDefault="002B5F36" w:rsidP="00EF60C0">
      <w:pPr>
        <w:spacing w:after="0" w:line="240" w:lineRule="auto"/>
        <w:jc w:val="center"/>
        <w:rPr>
          <w:rFonts w:cs="Times New Roman"/>
          <w:color w:val="000000"/>
          <w:lang w:val="hr-HR" w:eastAsia="bs-Latn-BA"/>
        </w:rPr>
      </w:pPr>
    </w:p>
    <w:p w:rsidR="0057394A" w:rsidRDefault="007A19A3" w:rsidP="0057394A">
      <w:pPr>
        <w:spacing w:after="0" w:line="240" w:lineRule="auto"/>
        <w:jc w:val="both"/>
        <w:rPr>
          <w:rFonts w:cs="Times New Roman"/>
          <w:color w:val="000000"/>
          <w:lang w:val="hr-HR" w:eastAsia="bs-Latn-BA"/>
        </w:rPr>
      </w:pPr>
      <w:r>
        <w:rPr>
          <w:rFonts w:cs="Times New Roman"/>
          <w:color w:val="000000"/>
          <w:lang w:val="hr-HR" w:eastAsia="bs-Latn-BA"/>
        </w:rPr>
        <w:t>1) Član 21. Zakona definiše opš</w:t>
      </w:r>
      <w:r w:rsidR="00FA352A">
        <w:rPr>
          <w:rFonts w:cs="Times New Roman"/>
          <w:color w:val="000000"/>
          <w:lang w:val="hr-HR" w:eastAsia="bs-Latn-BA"/>
        </w:rPr>
        <w:t>te slučajeve koji se mogu primjeniti i na robe, i na usluge i na radove. Naime, ovim članom</w:t>
      </w:r>
      <w:r w:rsidR="003F7609">
        <w:rPr>
          <w:rFonts w:cs="Times New Roman"/>
          <w:color w:val="000000"/>
          <w:lang w:val="hr-HR" w:eastAsia="bs-Latn-BA"/>
        </w:rPr>
        <w:t xml:space="preserve"> Zakona obuhvaćene su situacije za nabavku roba, usluga i radova, kao i uslovi koji moraju biti ispunjeni da bi se ovaj postupak mogao primjeniti. </w:t>
      </w:r>
      <w:r w:rsidR="002B5F36">
        <w:rPr>
          <w:rFonts w:cs="Times New Roman"/>
          <w:color w:val="000000"/>
          <w:lang w:val="hr-HR" w:eastAsia="bs-Latn-BA"/>
        </w:rPr>
        <w:t xml:space="preserve"> </w:t>
      </w:r>
      <w:r>
        <w:rPr>
          <w:rFonts w:cs="Times New Roman"/>
          <w:color w:val="000000"/>
          <w:lang w:val="hr-HR" w:eastAsia="bs-Latn-BA"/>
        </w:rPr>
        <w:t xml:space="preserve">Primjena člana 21. </w:t>
      </w:r>
      <w:r w:rsidR="0057394A">
        <w:rPr>
          <w:rFonts w:cs="Times New Roman"/>
          <w:color w:val="000000"/>
          <w:lang w:val="hr-HR" w:eastAsia="bs-Latn-BA"/>
        </w:rPr>
        <w:t>s</w:t>
      </w:r>
      <w:r>
        <w:rPr>
          <w:rFonts w:cs="Times New Roman"/>
          <w:color w:val="000000"/>
          <w:lang w:val="hr-HR" w:eastAsia="bs-Latn-BA"/>
        </w:rPr>
        <w:t xml:space="preserve">tav </w:t>
      </w:r>
      <w:r w:rsidR="0057394A">
        <w:rPr>
          <w:rFonts w:cs="Times New Roman"/>
          <w:color w:val="000000"/>
          <w:lang w:val="hr-HR" w:eastAsia="bs-Latn-BA"/>
        </w:rPr>
        <w:t>(1) tačka c) Z</w:t>
      </w:r>
      <w:r>
        <w:rPr>
          <w:rFonts w:cs="Times New Roman"/>
          <w:color w:val="000000"/>
          <w:lang w:val="hr-HR" w:eastAsia="bs-Latn-BA"/>
        </w:rPr>
        <w:t xml:space="preserve">akona, koja definiše ekskluzivitet je najzastupljenija kao pravni osnov za primjenu pregovaračkog postupka bez objave obavještenja. </w:t>
      </w:r>
      <w:r w:rsidR="0057394A">
        <w:rPr>
          <w:rFonts w:cs="Times New Roman"/>
          <w:color w:val="000000"/>
          <w:lang w:val="hr-HR" w:eastAsia="bs-Latn-BA"/>
        </w:rPr>
        <w:t>Dosadašnja praksa i praćenje sistema javnih nabavki je ukazalo na činjenicu da ugovorni organi kod nabavki softwera se neopredjeljuju za nabavku i „source cod-a“, te su prinudjeni pregovarati sa dobavljačem od kojeg su nabavili softwer za održavanje i nadogradnju.</w:t>
      </w:r>
    </w:p>
    <w:p w:rsidR="007A19A3" w:rsidRDefault="007A19A3" w:rsidP="00CD069B">
      <w:pPr>
        <w:spacing w:after="0" w:line="240" w:lineRule="auto"/>
        <w:jc w:val="both"/>
        <w:rPr>
          <w:rFonts w:cs="Times New Roman"/>
          <w:color w:val="000000"/>
          <w:lang w:val="hr-HR" w:eastAsia="bs-Latn-BA"/>
        </w:rPr>
      </w:pPr>
    </w:p>
    <w:p w:rsidR="002B5F36" w:rsidRDefault="002B5F36" w:rsidP="00CD069B">
      <w:pPr>
        <w:spacing w:after="0" w:line="240" w:lineRule="auto"/>
        <w:jc w:val="both"/>
        <w:rPr>
          <w:rFonts w:cs="Times New Roman"/>
          <w:color w:val="000000"/>
          <w:lang w:val="hr-HR" w:eastAsia="bs-Latn-BA"/>
        </w:rPr>
      </w:pPr>
      <w:r>
        <w:rPr>
          <w:rFonts w:cs="Times New Roman"/>
          <w:color w:val="000000"/>
          <w:lang w:val="hr-HR" w:eastAsia="bs-Latn-BA"/>
        </w:rPr>
        <w:t>2)</w:t>
      </w:r>
      <w:r w:rsidR="007A19A3">
        <w:rPr>
          <w:rFonts w:cs="Times New Roman"/>
          <w:color w:val="000000"/>
          <w:lang w:val="hr-HR" w:eastAsia="bs-Latn-BA"/>
        </w:rPr>
        <w:t xml:space="preserve"> Član 22. Zakona definše uslove za nabavku roba putem pregovaračkog postupka bez objave obavještenja i iz pokazatelja za slučajeve nabavke roba najzastupljenija je dodatna nabavka roba, uz </w:t>
      </w:r>
      <w:r w:rsidR="007A19A3">
        <w:rPr>
          <w:rFonts w:cs="Times New Roman"/>
          <w:color w:val="000000"/>
          <w:lang w:val="hr-HR" w:eastAsia="bs-Latn-BA"/>
        </w:rPr>
        <w:lastRenderedPageBreak/>
        <w:t>is</w:t>
      </w:r>
      <w:r w:rsidR="00255B42">
        <w:rPr>
          <w:rFonts w:cs="Times New Roman"/>
          <w:color w:val="000000"/>
          <w:lang w:val="hr-HR" w:eastAsia="bs-Latn-BA"/>
        </w:rPr>
        <w:t>punjenje kumulativno postavljena</w:t>
      </w:r>
      <w:r w:rsidR="007A19A3">
        <w:rPr>
          <w:rFonts w:cs="Times New Roman"/>
          <w:color w:val="000000"/>
          <w:lang w:val="hr-HR" w:eastAsia="bs-Latn-BA"/>
        </w:rPr>
        <w:t xml:space="preserve"> </w:t>
      </w:r>
      <w:r w:rsidR="00255B42">
        <w:rPr>
          <w:rFonts w:cs="Times New Roman"/>
          <w:color w:val="000000"/>
          <w:lang w:val="hr-HR" w:eastAsia="bs-Latn-BA"/>
        </w:rPr>
        <w:t xml:space="preserve">4 </w:t>
      </w:r>
      <w:r w:rsidR="007A19A3">
        <w:rPr>
          <w:rFonts w:cs="Times New Roman"/>
          <w:color w:val="000000"/>
          <w:lang w:val="hr-HR" w:eastAsia="bs-Latn-BA"/>
        </w:rPr>
        <w:t xml:space="preserve">uslova </w:t>
      </w:r>
      <w:r w:rsidR="00255B42">
        <w:rPr>
          <w:rFonts w:cs="Times New Roman"/>
          <w:color w:val="000000"/>
          <w:lang w:val="hr-HR" w:eastAsia="bs-Latn-BA"/>
        </w:rPr>
        <w:t xml:space="preserve">da bi se primjenio ovaj pravni osnov za pregovarački postupak bez objave obavještenja. </w:t>
      </w:r>
    </w:p>
    <w:p w:rsidR="003F7609" w:rsidRDefault="003F7609" w:rsidP="00CD069B">
      <w:pPr>
        <w:spacing w:after="0" w:line="240" w:lineRule="auto"/>
        <w:jc w:val="both"/>
        <w:rPr>
          <w:rFonts w:cs="Times New Roman"/>
          <w:color w:val="000000"/>
          <w:lang w:val="hr-HR" w:eastAsia="bs-Latn-BA"/>
        </w:rPr>
      </w:pPr>
    </w:p>
    <w:p w:rsidR="009705FC" w:rsidRDefault="00255B42" w:rsidP="00CD069B">
      <w:pPr>
        <w:spacing w:after="0" w:line="240" w:lineRule="auto"/>
        <w:jc w:val="both"/>
        <w:rPr>
          <w:rFonts w:cs="Times New Roman"/>
          <w:color w:val="000000"/>
          <w:lang w:val="hr-HR" w:eastAsia="bs-Latn-BA"/>
        </w:rPr>
      </w:pPr>
      <w:r>
        <w:rPr>
          <w:rFonts w:cs="Times New Roman"/>
          <w:color w:val="000000"/>
          <w:lang w:val="hr-HR" w:eastAsia="bs-Latn-BA"/>
        </w:rPr>
        <w:t>3) Član 23. Zakona definiše situacije kada je moguće primjeniti pregovarački postupak bez objave obavještenja za nabavku usluga. Ovaj pravni osnov je primjenjen većinom za  nepredviđene usluge</w:t>
      </w:r>
      <w:r w:rsidR="009705FC">
        <w:rPr>
          <w:rFonts w:cs="Times New Roman"/>
          <w:color w:val="000000"/>
          <w:lang w:val="hr-HR" w:eastAsia="bs-Latn-BA"/>
        </w:rPr>
        <w:t xml:space="preserve"> </w:t>
      </w:r>
      <w:r>
        <w:rPr>
          <w:rFonts w:cs="Times New Roman"/>
          <w:color w:val="000000"/>
          <w:lang w:val="hr-HR" w:eastAsia="bs-Latn-BA"/>
        </w:rPr>
        <w:t xml:space="preserve"> i dodatne usluge. </w:t>
      </w:r>
      <w:r w:rsidR="009705FC">
        <w:rPr>
          <w:rFonts w:cs="Times New Roman"/>
          <w:color w:val="000000"/>
          <w:lang w:val="hr-HR" w:eastAsia="bs-Latn-BA"/>
        </w:rPr>
        <w:t xml:space="preserve">I u ovim slučajevima je potrebno ispuniti </w:t>
      </w:r>
      <w:r w:rsidR="00BC63AF">
        <w:rPr>
          <w:rFonts w:cs="Times New Roman"/>
          <w:color w:val="000000"/>
          <w:lang w:val="hr-HR" w:eastAsia="bs-Latn-BA"/>
        </w:rPr>
        <w:t>komulativno postavljene uslove, a posebno kod nepredviđenih usluga vrijednosno ograničenje (30% vrijednosti osnovnog ugovora), te kod dodatnih usluga ograničenje u pogledu roka , tj. u peri</w:t>
      </w:r>
      <w:r w:rsidR="002205E1">
        <w:rPr>
          <w:rFonts w:cs="Times New Roman"/>
          <w:color w:val="000000"/>
          <w:lang w:val="hr-HR" w:eastAsia="bs-Latn-BA"/>
        </w:rPr>
        <w:t>o</w:t>
      </w:r>
      <w:r w:rsidR="00BC63AF">
        <w:rPr>
          <w:rFonts w:cs="Times New Roman"/>
          <w:color w:val="000000"/>
          <w:lang w:val="hr-HR" w:eastAsia="bs-Latn-BA"/>
        </w:rPr>
        <w:t>du od tri godine od zaključenja osnovnog ugovora.</w:t>
      </w:r>
    </w:p>
    <w:p w:rsidR="00BC63AF" w:rsidRDefault="00BC63AF" w:rsidP="00CD069B">
      <w:pPr>
        <w:spacing w:after="0" w:line="240" w:lineRule="auto"/>
        <w:jc w:val="both"/>
        <w:rPr>
          <w:rFonts w:cs="Times New Roman"/>
          <w:color w:val="000000"/>
          <w:lang w:val="hr-HR" w:eastAsia="bs-Latn-BA"/>
        </w:rPr>
      </w:pPr>
      <w:r>
        <w:rPr>
          <w:rFonts w:cs="Times New Roman"/>
          <w:color w:val="000000"/>
          <w:lang w:val="hr-HR" w:eastAsia="bs-Latn-BA"/>
        </w:rPr>
        <w:t>4) Članom 24. Zakona se definišu kumulativno postavljeni usl</w:t>
      </w:r>
      <w:r w:rsidR="00790820">
        <w:rPr>
          <w:rFonts w:cs="Times New Roman"/>
          <w:color w:val="000000"/>
          <w:lang w:val="hr-HR" w:eastAsia="bs-Latn-BA"/>
        </w:rPr>
        <w:t>ovi za nabavku nepredviđenih ra</w:t>
      </w:r>
      <w:r>
        <w:rPr>
          <w:rFonts w:cs="Times New Roman"/>
          <w:color w:val="000000"/>
          <w:lang w:val="hr-HR" w:eastAsia="bs-Latn-BA"/>
        </w:rPr>
        <w:t xml:space="preserve">dova i dodatnih radova. Posmatrajući pokazatelje za ove slučajeve, uočava se da </w:t>
      </w:r>
      <w:r w:rsidR="0057394A">
        <w:rPr>
          <w:rFonts w:cs="Times New Roman"/>
          <w:color w:val="000000"/>
          <w:lang w:val="hr-HR" w:eastAsia="bs-Latn-BA"/>
        </w:rPr>
        <w:t>u preko 70% slučajeva prov</w:t>
      </w:r>
      <w:r w:rsidR="002205E1">
        <w:rPr>
          <w:rFonts w:cs="Times New Roman"/>
          <w:color w:val="000000"/>
          <w:lang w:val="hr-HR" w:eastAsia="bs-Latn-BA"/>
        </w:rPr>
        <w:t>e</w:t>
      </w:r>
      <w:r w:rsidR="0057394A">
        <w:rPr>
          <w:rFonts w:cs="Times New Roman"/>
          <w:color w:val="000000"/>
          <w:lang w:val="hr-HR" w:eastAsia="bs-Latn-BA"/>
        </w:rPr>
        <w:t>den je pr</w:t>
      </w:r>
      <w:r w:rsidR="002205E1">
        <w:rPr>
          <w:rFonts w:cs="Times New Roman"/>
          <w:color w:val="000000"/>
          <w:lang w:val="hr-HR" w:eastAsia="bs-Latn-BA"/>
        </w:rPr>
        <w:t>e</w:t>
      </w:r>
      <w:r w:rsidR="0057394A">
        <w:rPr>
          <w:rFonts w:cs="Times New Roman"/>
          <w:color w:val="000000"/>
          <w:lang w:val="hr-HR" w:eastAsia="bs-Latn-BA"/>
        </w:rPr>
        <w:t>govarački postupak bez objave obavještenja za nepredviđene radove, a iz čega proizilazi da dokum</w:t>
      </w:r>
      <w:r w:rsidR="002205E1">
        <w:rPr>
          <w:rFonts w:cs="Times New Roman"/>
          <w:color w:val="000000"/>
          <w:lang w:val="hr-HR" w:eastAsia="bs-Latn-BA"/>
        </w:rPr>
        <w:t>e</w:t>
      </w:r>
      <w:r w:rsidR="0057394A">
        <w:rPr>
          <w:rFonts w:cs="Times New Roman"/>
          <w:color w:val="000000"/>
          <w:lang w:val="hr-HR" w:eastAsia="bs-Latn-BA"/>
        </w:rPr>
        <w:t>ntacija koja se pripr</w:t>
      </w:r>
      <w:r w:rsidR="00790820">
        <w:rPr>
          <w:rFonts w:cs="Times New Roman"/>
          <w:color w:val="000000"/>
          <w:lang w:val="hr-HR" w:eastAsia="bs-Latn-BA"/>
        </w:rPr>
        <w:t>e</w:t>
      </w:r>
      <w:r w:rsidR="0057394A">
        <w:rPr>
          <w:rFonts w:cs="Times New Roman"/>
          <w:color w:val="000000"/>
          <w:lang w:val="hr-HR" w:eastAsia="bs-Latn-BA"/>
        </w:rPr>
        <w:t>ma za izvođenje radova (projekat i druga dokumentacija) ukazuju na loše pripr</w:t>
      </w:r>
      <w:r w:rsidR="00790820">
        <w:rPr>
          <w:rFonts w:cs="Times New Roman"/>
          <w:color w:val="000000"/>
          <w:lang w:val="hr-HR" w:eastAsia="bs-Latn-BA"/>
        </w:rPr>
        <w:t>e</w:t>
      </w:r>
      <w:r w:rsidR="0057394A">
        <w:rPr>
          <w:rFonts w:cs="Times New Roman"/>
          <w:color w:val="000000"/>
          <w:lang w:val="hr-HR" w:eastAsia="bs-Latn-BA"/>
        </w:rPr>
        <w:t>me koje prethode realizaciji projekata. U ovim slučajevima se mogu de</w:t>
      </w:r>
      <w:r w:rsidR="00790820">
        <w:rPr>
          <w:rFonts w:cs="Times New Roman"/>
          <w:color w:val="000000"/>
          <w:lang w:val="hr-HR" w:eastAsia="bs-Latn-BA"/>
        </w:rPr>
        <w:t>s</w:t>
      </w:r>
      <w:r w:rsidR="0057394A">
        <w:rPr>
          <w:rFonts w:cs="Times New Roman"/>
          <w:color w:val="000000"/>
          <w:lang w:val="hr-HR" w:eastAsia="bs-Latn-BA"/>
        </w:rPr>
        <w:t xml:space="preserve">iti različiti oblici zloupotreba, posebno kada se radi o projektima velike vrijednosti. </w:t>
      </w:r>
    </w:p>
    <w:p w:rsidR="004914AC" w:rsidRDefault="004914AC" w:rsidP="00CD069B">
      <w:pPr>
        <w:spacing w:after="0" w:line="240" w:lineRule="auto"/>
        <w:jc w:val="both"/>
        <w:rPr>
          <w:rFonts w:cs="Times New Roman"/>
          <w:color w:val="000000"/>
          <w:lang w:val="hr-HR" w:eastAsia="bs-Latn-BA"/>
        </w:rPr>
      </w:pPr>
    </w:p>
    <w:p w:rsidR="00CC506F" w:rsidRDefault="00CC506F" w:rsidP="00CC506F">
      <w:pPr>
        <w:pStyle w:val="ListParagraph"/>
        <w:numPr>
          <w:ilvl w:val="0"/>
          <w:numId w:val="2"/>
        </w:numPr>
        <w:spacing w:after="0" w:line="240" w:lineRule="auto"/>
        <w:jc w:val="both"/>
        <w:rPr>
          <w:rFonts w:cs="Times New Roman"/>
          <w:b/>
          <w:color w:val="000000" w:themeColor="text1"/>
          <w:sz w:val="24"/>
          <w:szCs w:val="24"/>
        </w:rPr>
      </w:pPr>
      <w:r w:rsidRPr="006E29C8">
        <w:rPr>
          <w:rFonts w:cs="Times New Roman"/>
          <w:b/>
          <w:color w:val="000000" w:themeColor="text1"/>
          <w:sz w:val="24"/>
          <w:szCs w:val="24"/>
        </w:rPr>
        <w:t>Prekršajni postupci u 2019. godini</w:t>
      </w:r>
    </w:p>
    <w:p w:rsidR="00F63C41" w:rsidRDefault="00F63C41" w:rsidP="00CD069B">
      <w:pPr>
        <w:spacing w:after="0" w:line="240" w:lineRule="auto"/>
        <w:jc w:val="both"/>
        <w:rPr>
          <w:rFonts w:cs="Times New Roman"/>
          <w:color w:val="000000"/>
          <w:lang w:val="hr-HR" w:eastAsia="bs-Latn-BA"/>
        </w:rPr>
      </w:pPr>
    </w:p>
    <w:p w:rsidR="00AB7DB8" w:rsidRDefault="00AB7DB8" w:rsidP="00CD069B">
      <w:pPr>
        <w:spacing w:after="0" w:line="240" w:lineRule="auto"/>
        <w:jc w:val="both"/>
        <w:rPr>
          <w:rFonts w:cs="Times New Roman"/>
          <w:color w:val="000000"/>
          <w:lang w:val="hr-HR" w:eastAsia="bs-Latn-BA"/>
        </w:rPr>
      </w:pPr>
      <w:r>
        <w:rPr>
          <w:rFonts w:cs="Times New Roman"/>
          <w:color w:val="000000"/>
          <w:lang w:val="hr-HR" w:eastAsia="bs-Latn-BA"/>
        </w:rPr>
        <w:t>Agencija je u 2019. godini realizirala i nadležnost iz člana 116. Zakona, te je podnijela 2</w:t>
      </w:r>
      <w:r w:rsidR="00564D0F">
        <w:rPr>
          <w:rFonts w:cs="Times New Roman"/>
          <w:color w:val="000000"/>
          <w:lang w:val="hr-HR" w:eastAsia="bs-Latn-BA"/>
        </w:rPr>
        <w:t>7</w:t>
      </w:r>
      <w:r>
        <w:rPr>
          <w:rFonts w:cs="Times New Roman"/>
          <w:color w:val="000000"/>
          <w:lang w:val="hr-HR" w:eastAsia="bs-Latn-BA"/>
        </w:rPr>
        <w:t xml:space="preserve"> zahtjeva za pokretanje prekršajnog postupka</w:t>
      </w:r>
      <w:r w:rsidR="00090ABB">
        <w:rPr>
          <w:rStyle w:val="FootnoteReference"/>
          <w:rFonts w:cs="Times New Roman"/>
          <w:color w:val="000000"/>
          <w:lang w:val="hr-HR" w:eastAsia="bs-Latn-BA"/>
        </w:rPr>
        <w:footnoteReference w:id="3"/>
      </w:r>
      <w:r>
        <w:rPr>
          <w:rFonts w:cs="Times New Roman"/>
          <w:color w:val="000000"/>
          <w:lang w:val="hr-HR" w:eastAsia="bs-Latn-BA"/>
        </w:rPr>
        <w:t xml:space="preserve">. </w:t>
      </w:r>
      <w:r w:rsidR="00564D0F">
        <w:rPr>
          <w:rFonts w:cs="Times New Roman"/>
          <w:color w:val="000000"/>
          <w:lang w:val="hr-HR" w:eastAsia="bs-Latn-BA"/>
        </w:rPr>
        <w:t xml:space="preserve">Prikaz pokrenutih </w:t>
      </w:r>
      <w:r>
        <w:rPr>
          <w:rFonts w:cs="Times New Roman"/>
          <w:color w:val="000000"/>
          <w:lang w:val="hr-HR" w:eastAsia="bs-Latn-BA"/>
        </w:rPr>
        <w:t xml:space="preserve">prekršajnih postupaka </w:t>
      </w:r>
      <w:r w:rsidR="00564D0F">
        <w:rPr>
          <w:rFonts w:cs="Times New Roman"/>
          <w:color w:val="000000"/>
          <w:lang w:val="hr-HR" w:eastAsia="bs-Latn-BA"/>
        </w:rPr>
        <w:t>u 2019.godini je</w:t>
      </w:r>
      <w:r>
        <w:rPr>
          <w:rFonts w:cs="Times New Roman"/>
          <w:color w:val="000000"/>
          <w:lang w:val="hr-HR" w:eastAsia="bs-Latn-BA"/>
        </w:rPr>
        <w:t xml:space="preserve"> slijedeći:</w:t>
      </w:r>
    </w:p>
    <w:p w:rsidR="004E452C" w:rsidRDefault="004E452C" w:rsidP="00CD069B">
      <w:pPr>
        <w:spacing w:after="0" w:line="240" w:lineRule="auto"/>
        <w:jc w:val="both"/>
        <w:rPr>
          <w:rFonts w:cs="Times New Roman"/>
          <w:color w:val="000000"/>
          <w:lang w:val="hr-HR" w:eastAsia="bs-Latn-BA"/>
        </w:rPr>
      </w:pPr>
    </w:p>
    <w:p w:rsidR="00AB7DB8" w:rsidRPr="00AB7DB8" w:rsidRDefault="00AB7DB8" w:rsidP="00AB7DB8">
      <w:pPr>
        <w:spacing w:after="0" w:line="240" w:lineRule="auto"/>
        <w:jc w:val="both"/>
        <w:rPr>
          <w:rFonts w:cs="Times New Roman"/>
          <w:color w:val="000000"/>
          <w:lang w:val="hr-HR" w:eastAsia="bs-Latn-BA"/>
        </w:rPr>
      </w:pPr>
    </w:p>
    <w:p w:rsidR="00903A10" w:rsidRDefault="004D31A0" w:rsidP="004D31A0">
      <w:pPr>
        <w:spacing w:after="0" w:line="240" w:lineRule="auto"/>
        <w:jc w:val="center"/>
        <w:rPr>
          <w:rFonts w:cs="Times New Roman"/>
          <w:color w:val="000000"/>
          <w:lang w:val="hr-HR" w:eastAsia="bs-Latn-BA"/>
        </w:rPr>
      </w:pPr>
      <w:r>
        <w:rPr>
          <w:noProof/>
          <w:lang w:eastAsia="bs-Latn-BA"/>
        </w:rPr>
        <w:drawing>
          <wp:inline distT="0" distB="0" distL="0" distR="0" wp14:anchorId="2106916C" wp14:editId="3486A95E">
            <wp:extent cx="4572000" cy="28575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552A" w:rsidRDefault="00B5552A" w:rsidP="00564D0F">
      <w:pPr>
        <w:spacing w:after="0" w:line="240" w:lineRule="auto"/>
        <w:rPr>
          <w:rFonts w:cs="Times New Roman"/>
          <w:color w:val="000000"/>
          <w:lang w:val="hr-HR" w:eastAsia="bs-Latn-BA"/>
        </w:rPr>
      </w:pPr>
    </w:p>
    <w:p w:rsidR="005E5CB5" w:rsidRDefault="00564D0F" w:rsidP="00564D0F">
      <w:pPr>
        <w:spacing w:after="0" w:line="240" w:lineRule="auto"/>
        <w:rPr>
          <w:rFonts w:cs="Times New Roman"/>
          <w:color w:val="000000"/>
          <w:lang w:val="hr-HR" w:eastAsia="bs-Latn-BA"/>
        </w:rPr>
      </w:pPr>
      <w:r>
        <w:rPr>
          <w:rFonts w:cs="Times New Roman"/>
          <w:color w:val="000000"/>
          <w:lang w:val="hr-HR" w:eastAsia="bs-Latn-BA"/>
        </w:rPr>
        <w:t xml:space="preserve">Od ukupno podnesenog broja zahtjeva za pokretanje prekršajnog postupka  u 2019. godini, u 2019. godini je </w:t>
      </w:r>
      <w:r w:rsidR="005E5CB5">
        <w:rPr>
          <w:rFonts w:cs="Times New Roman"/>
          <w:color w:val="000000"/>
          <w:lang w:val="hr-HR" w:eastAsia="bs-Latn-BA"/>
        </w:rPr>
        <w:t>6 zahtjeva procesuirano, od čega su 4 odluke pravomoć</w:t>
      </w:r>
      <w:r w:rsidR="004914AC">
        <w:rPr>
          <w:rFonts w:cs="Times New Roman"/>
          <w:color w:val="000000"/>
          <w:lang w:val="hr-HR" w:eastAsia="bs-Latn-BA"/>
        </w:rPr>
        <w:t>ne i dvije nepravomoćne  odluke, a što ukazuje na sporost sudova u procesuiranju zahtjeva.</w:t>
      </w:r>
    </w:p>
    <w:p w:rsidR="005E5CB5" w:rsidRDefault="005E5CB5" w:rsidP="00564D0F">
      <w:pPr>
        <w:spacing w:after="0" w:line="240" w:lineRule="auto"/>
        <w:rPr>
          <w:rFonts w:cs="Times New Roman"/>
          <w:color w:val="000000"/>
          <w:lang w:val="hr-HR" w:eastAsia="bs-Latn-BA"/>
        </w:rPr>
      </w:pPr>
    </w:p>
    <w:p w:rsidR="00564D0F" w:rsidRDefault="005E5CB5" w:rsidP="00564D0F">
      <w:pPr>
        <w:spacing w:after="0" w:line="240" w:lineRule="auto"/>
        <w:rPr>
          <w:rFonts w:cs="Times New Roman"/>
          <w:color w:val="000000"/>
          <w:lang w:val="hr-HR" w:eastAsia="bs-Latn-BA"/>
        </w:rPr>
      </w:pPr>
      <w:r>
        <w:rPr>
          <w:rFonts w:cs="Times New Roman"/>
          <w:color w:val="000000"/>
          <w:lang w:val="hr-HR" w:eastAsia="bs-Latn-BA"/>
        </w:rPr>
        <w:t xml:space="preserve">U zahtjevima za pokretanje prekršajnog postupka u 2019. godini, pravni osnovi </w:t>
      </w:r>
      <w:r w:rsidR="00564D0F">
        <w:rPr>
          <w:rFonts w:cs="Times New Roman"/>
          <w:color w:val="000000"/>
          <w:lang w:val="hr-HR" w:eastAsia="bs-Latn-BA"/>
        </w:rPr>
        <w:t xml:space="preserve"> </w:t>
      </w:r>
      <w:r>
        <w:rPr>
          <w:rFonts w:cs="Times New Roman"/>
          <w:color w:val="000000"/>
          <w:lang w:val="hr-HR" w:eastAsia="bs-Latn-BA"/>
        </w:rPr>
        <w:t>su bili slijedeći:</w:t>
      </w:r>
    </w:p>
    <w:p w:rsidR="005E5CB5" w:rsidRDefault="005E5CB5" w:rsidP="005E5CB5">
      <w:pPr>
        <w:pStyle w:val="ListParagraph"/>
        <w:numPr>
          <w:ilvl w:val="0"/>
          <w:numId w:val="18"/>
        </w:numPr>
        <w:spacing w:after="0" w:line="240" w:lineRule="auto"/>
        <w:rPr>
          <w:rFonts w:cs="Times New Roman"/>
          <w:color w:val="000000"/>
          <w:lang w:val="hr-HR" w:eastAsia="bs-Latn-BA"/>
        </w:rPr>
      </w:pPr>
      <w:r>
        <w:rPr>
          <w:rFonts w:cs="Times New Roman"/>
          <w:color w:val="000000"/>
          <w:lang w:val="hr-HR" w:eastAsia="bs-Latn-BA"/>
        </w:rPr>
        <w:t>Nije primjenjen</w:t>
      </w:r>
      <w:r w:rsidR="00E46BF9">
        <w:rPr>
          <w:rFonts w:cs="Times New Roman"/>
          <w:color w:val="000000"/>
          <w:lang w:val="hr-HR" w:eastAsia="bs-Latn-BA"/>
        </w:rPr>
        <w:t>a</w:t>
      </w:r>
      <w:r>
        <w:rPr>
          <w:rFonts w:cs="Times New Roman"/>
          <w:color w:val="000000"/>
          <w:lang w:val="hr-HR" w:eastAsia="bs-Latn-BA"/>
        </w:rPr>
        <w:t xml:space="preserve"> </w:t>
      </w:r>
      <w:r w:rsidR="00E46BF9">
        <w:rPr>
          <w:rFonts w:cs="Times New Roman"/>
          <w:color w:val="000000"/>
          <w:lang w:val="hr-HR" w:eastAsia="bs-Latn-BA"/>
        </w:rPr>
        <w:t xml:space="preserve">odgovarajuća vrsta </w:t>
      </w:r>
      <w:r>
        <w:rPr>
          <w:rFonts w:cs="Times New Roman"/>
          <w:color w:val="000000"/>
          <w:lang w:val="hr-HR" w:eastAsia="bs-Latn-BA"/>
        </w:rPr>
        <w:t>postu</w:t>
      </w:r>
      <w:r w:rsidR="00E46BF9">
        <w:rPr>
          <w:rFonts w:cs="Times New Roman"/>
          <w:color w:val="000000"/>
          <w:lang w:val="hr-HR" w:eastAsia="bs-Latn-BA"/>
        </w:rPr>
        <w:t>p</w:t>
      </w:r>
      <w:r>
        <w:rPr>
          <w:rFonts w:cs="Times New Roman"/>
          <w:color w:val="000000"/>
          <w:lang w:val="hr-HR" w:eastAsia="bs-Latn-BA"/>
        </w:rPr>
        <w:t>k</w:t>
      </w:r>
      <w:r w:rsidR="00E46BF9">
        <w:rPr>
          <w:rFonts w:cs="Times New Roman"/>
          <w:color w:val="000000"/>
          <w:lang w:val="hr-HR" w:eastAsia="bs-Latn-BA"/>
        </w:rPr>
        <w:t>a</w:t>
      </w:r>
      <w:r>
        <w:rPr>
          <w:rFonts w:cs="Times New Roman"/>
          <w:color w:val="000000"/>
          <w:lang w:val="hr-HR" w:eastAsia="bs-Latn-BA"/>
        </w:rPr>
        <w:t xml:space="preserve"> u skladu sa Zakonom ;</w:t>
      </w:r>
    </w:p>
    <w:p w:rsidR="005E5CB5" w:rsidRDefault="005E5CB5" w:rsidP="005E5CB5">
      <w:pPr>
        <w:pStyle w:val="ListParagraph"/>
        <w:numPr>
          <w:ilvl w:val="0"/>
          <w:numId w:val="18"/>
        </w:numPr>
        <w:spacing w:after="0" w:line="240" w:lineRule="auto"/>
        <w:rPr>
          <w:rFonts w:cs="Times New Roman"/>
          <w:color w:val="000000"/>
          <w:lang w:val="hr-HR" w:eastAsia="bs-Latn-BA"/>
        </w:rPr>
      </w:pPr>
      <w:r>
        <w:rPr>
          <w:rFonts w:cs="Times New Roman"/>
          <w:color w:val="000000"/>
          <w:lang w:val="hr-HR" w:eastAsia="bs-Latn-BA"/>
        </w:rPr>
        <w:t>Nij</w:t>
      </w:r>
      <w:r w:rsidR="00E46BF9">
        <w:rPr>
          <w:rFonts w:cs="Times New Roman"/>
          <w:color w:val="000000"/>
          <w:lang w:val="hr-HR" w:eastAsia="bs-Latn-BA"/>
        </w:rPr>
        <w:t>e</w:t>
      </w:r>
      <w:r>
        <w:rPr>
          <w:rFonts w:cs="Times New Roman"/>
          <w:color w:val="000000"/>
          <w:lang w:val="hr-HR" w:eastAsia="bs-Latn-BA"/>
        </w:rPr>
        <w:t xml:space="preserve"> objavljen plan javnih nabavki,</w:t>
      </w:r>
    </w:p>
    <w:p w:rsidR="005E5CB5" w:rsidRDefault="005E5CB5" w:rsidP="005E5CB5">
      <w:pPr>
        <w:pStyle w:val="ListParagraph"/>
        <w:numPr>
          <w:ilvl w:val="0"/>
          <w:numId w:val="18"/>
        </w:numPr>
        <w:spacing w:after="0" w:line="240" w:lineRule="auto"/>
        <w:rPr>
          <w:rFonts w:cs="Times New Roman"/>
          <w:color w:val="000000"/>
          <w:lang w:val="hr-HR" w:eastAsia="bs-Latn-BA"/>
        </w:rPr>
      </w:pPr>
      <w:r>
        <w:rPr>
          <w:rFonts w:cs="Times New Roman"/>
          <w:color w:val="000000"/>
          <w:lang w:val="hr-HR" w:eastAsia="bs-Latn-BA"/>
        </w:rPr>
        <w:t>Proveden pregovarački postupak bez objave obavještenja, iako nisu bili ispunjeni uslovi za primjenu ove vrste postupka javne nabavke,</w:t>
      </w:r>
    </w:p>
    <w:p w:rsidR="005E5CB5" w:rsidRDefault="005E5CB5" w:rsidP="005E5CB5">
      <w:pPr>
        <w:pStyle w:val="ListParagraph"/>
        <w:numPr>
          <w:ilvl w:val="0"/>
          <w:numId w:val="18"/>
        </w:numPr>
        <w:spacing w:after="0" w:line="240" w:lineRule="auto"/>
        <w:rPr>
          <w:rFonts w:cs="Times New Roman"/>
          <w:color w:val="000000"/>
          <w:lang w:val="hr-HR" w:eastAsia="bs-Latn-BA"/>
        </w:rPr>
      </w:pPr>
      <w:r>
        <w:rPr>
          <w:rFonts w:cs="Times New Roman"/>
          <w:color w:val="000000"/>
          <w:lang w:val="hr-HR" w:eastAsia="bs-Latn-BA"/>
        </w:rPr>
        <w:lastRenderedPageBreak/>
        <w:t>Dijeljenje predmeta nabavke u cilju izbjegavanja primjene odgovarajuće vrste postupka javne nabavke,</w:t>
      </w:r>
    </w:p>
    <w:p w:rsidR="005E5CB5" w:rsidRDefault="005E5CB5" w:rsidP="005E5CB5">
      <w:pPr>
        <w:pStyle w:val="ListParagraph"/>
        <w:numPr>
          <w:ilvl w:val="0"/>
          <w:numId w:val="18"/>
        </w:numPr>
        <w:spacing w:after="0" w:line="240" w:lineRule="auto"/>
        <w:rPr>
          <w:rFonts w:cs="Times New Roman"/>
          <w:color w:val="000000"/>
          <w:lang w:val="hr-HR" w:eastAsia="bs-Latn-BA"/>
        </w:rPr>
      </w:pPr>
      <w:r>
        <w:rPr>
          <w:rFonts w:cs="Times New Roman"/>
          <w:color w:val="000000"/>
          <w:lang w:val="hr-HR" w:eastAsia="bs-Latn-BA"/>
        </w:rPr>
        <w:t>Nije dostavljen izvještaj u skladu sa Zakonom i podzakonskim aktima.</w:t>
      </w:r>
    </w:p>
    <w:p w:rsidR="005E5CB5" w:rsidRDefault="005E5CB5" w:rsidP="005E5CB5">
      <w:pPr>
        <w:spacing w:after="0" w:line="240" w:lineRule="auto"/>
        <w:rPr>
          <w:rFonts w:cs="Times New Roman"/>
          <w:color w:val="000000"/>
          <w:lang w:val="hr-HR" w:eastAsia="bs-Latn-BA"/>
        </w:rPr>
      </w:pPr>
    </w:p>
    <w:p w:rsidR="00C9685B" w:rsidRDefault="005E5CB5" w:rsidP="00C9685B">
      <w:pPr>
        <w:spacing w:after="0" w:line="240" w:lineRule="auto"/>
        <w:jc w:val="both"/>
        <w:rPr>
          <w:rFonts w:cs="Times New Roman"/>
          <w:color w:val="000000"/>
          <w:lang w:val="hr-HR" w:eastAsia="bs-Latn-BA"/>
        </w:rPr>
      </w:pPr>
      <w:r>
        <w:rPr>
          <w:rFonts w:cs="Times New Roman"/>
          <w:color w:val="000000"/>
          <w:lang w:val="hr-HR" w:eastAsia="bs-Latn-BA"/>
        </w:rPr>
        <w:t xml:space="preserve">Iako Agencija ima nadležnost da podnese </w:t>
      </w:r>
      <w:r w:rsidR="00BE606C">
        <w:rPr>
          <w:rFonts w:cs="Times New Roman"/>
          <w:color w:val="000000"/>
          <w:lang w:val="hr-HR" w:eastAsia="bs-Latn-BA"/>
        </w:rPr>
        <w:t>zahtjev za pokretanje prekršajnog postupka samo u slučaju ka</w:t>
      </w:r>
      <w:r w:rsidR="004914AC">
        <w:rPr>
          <w:rFonts w:cs="Times New Roman"/>
          <w:color w:val="000000"/>
          <w:lang w:val="hr-HR" w:eastAsia="bs-Latn-BA"/>
        </w:rPr>
        <w:t>da nije izjavljena žalba, uočena je potreba da se izmjene</w:t>
      </w:r>
      <w:r w:rsidR="00BE606C">
        <w:rPr>
          <w:rFonts w:cs="Times New Roman"/>
          <w:color w:val="000000"/>
          <w:lang w:val="hr-HR" w:eastAsia="bs-Latn-BA"/>
        </w:rPr>
        <w:t xml:space="preserve"> odredbe člana 116. stav (2) </w:t>
      </w:r>
      <w:r w:rsidR="004914AC">
        <w:rPr>
          <w:rFonts w:cs="Times New Roman"/>
          <w:color w:val="000000"/>
          <w:lang w:val="hr-HR" w:eastAsia="bs-Latn-BA"/>
        </w:rPr>
        <w:t>Zakona, te preciznije definišu</w:t>
      </w:r>
      <w:r w:rsidR="00BE606C">
        <w:rPr>
          <w:rFonts w:cs="Times New Roman"/>
          <w:color w:val="000000"/>
          <w:lang w:val="hr-HR" w:eastAsia="bs-Latn-BA"/>
        </w:rPr>
        <w:t xml:space="preserve"> situacije kada se može podnijeti zahtjev za pokretanje prekršajnog postupka. Naime, kroz pr</w:t>
      </w:r>
      <w:r w:rsidR="00E46BF9">
        <w:rPr>
          <w:rFonts w:cs="Times New Roman"/>
          <w:color w:val="000000"/>
          <w:lang w:val="hr-HR" w:eastAsia="bs-Latn-BA"/>
        </w:rPr>
        <w:t>im</w:t>
      </w:r>
      <w:r w:rsidR="00BE606C">
        <w:rPr>
          <w:rFonts w:cs="Times New Roman"/>
          <w:color w:val="000000"/>
          <w:lang w:val="hr-HR" w:eastAsia="bs-Latn-BA"/>
        </w:rPr>
        <w:t>j</w:t>
      </w:r>
      <w:r w:rsidR="004914AC">
        <w:rPr>
          <w:rFonts w:cs="Times New Roman"/>
          <w:color w:val="000000"/>
          <w:lang w:val="hr-HR" w:eastAsia="bs-Latn-BA"/>
        </w:rPr>
        <w:t>e</w:t>
      </w:r>
      <w:r w:rsidR="00BE606C">
        <w:rPr>
          <w:rFonts w:cs="Times New Roman"/>
          <w:color w:val="000000"/>
          <w:lang w:val="hr-HR" w:eastAsia="bs-Latn-BA"/>
        </w:rPr>
        <w:t>nu ove odredbe uočeno je da neki od definisanih slučajeva su neprimjenjivi ( napr. arhiviranje dokumentacije), a neki slučajevi koji se javljaju u praksi nisu definisani (</w:t>
      </w:r>
      <w:r w:rsidR="00C9685B">
        <w:rPr>
          <w:rFonts w:cs="Times New Roman"/>
          <w:color w:val="000000"/>
          <w:lang w:val="hr-HR" w:eastAsia="bs-Latn-BA"/>
        </w:rPr>
        <w:t>napr. primjena e-aukcije</w:t>
      </w:r>
      <w:r w:rsidR="00090ABB">
        <w:rPr>
          <w:rFonts w:cs="Times New Roman"/>
          <w:color w:val="000000"/>
          <w:lang w:val="hr-HR" w:eastAsia="bs-Latn-BA"/>
        </w:rPr>
        <w:t>, neobjavljivanje realizacij</w:t>
      </w:r>
      <w:r w:rsidR="004914AC">
        <w:rPr>
          <w:rFonts w:cs="Times New Roman"/>
          <w:color w:val="000000"/>
          <w:lang w:val="hr-HR" w:eastAsia="bs-Latn-BA"/>
        </w:rPr>
        <w:t>e</w:t>
      </w:r>
      <w:r w:rsidR="00090ABB">
        <w:rPr>
          <w:rFonts w:cs="Times New Roman"/>
          <w:color w:val="000000"/>
          <w:lang w:val="hr-HR" w:eastAsia="bs-Latn-BA"/>
        </w:rPr>
        <w:t xml:space="preserve"> ugovora</w:t>
      </w:r>
      <w:r w:rsidR="00C9685B">
        <w:rPr>
          <w:rFonts w:cs="Times New Roman"/>
          <w:color w:val="000000"/>
          <w:lang w:val="hr-HR" w:eastAsia="bs-Latn-BA"/>
        </w:rPr>
        <w:t xml:space="preserve">). </w:t>
      </w:r>
    </w:p>
    <w:p w:rsidR="00C9685B" w:rsidRDefault="00C9685B" w:rsidP="00C9685B">
      <w:pPr>
        <w:spacing w:after="0" w:line="240" w:lineRule="auto"/>
        <w:jc w:val="both"/>
        <w:rPr>
          <w:rFonts w:cs="Times New Roman"/>
          <w:color w:val="000000"/>
          <w:lang w:val="hr-HR" w:eastAsia="bs-Latn-BA"/>
        </w:rPr>
      </w:pPr>
    </w:p>
    <w:p w:rsidR="00C9685B" w:rsidRPr="005E5CB5" w:rsidRDefault="00C9685B" w:rsidP="00C9685B">
      <w:pPr>
        <w:spacing w:after="0" w:line="240" w:lineRule="auto"/>
        <w:jc w:val="both"/>
        <w:rPr>
          <w:rFonts w:cs="Times New Roman"/>
          <w:color w:val="000000"/>
          <w:lang w:val="hr-HR" w:eastAsia="bs-Latn-BA"/>
        </w:rPr>
      </w:pPr>
      <w:r>
        <w:rPr>
          <w:rFonts w:cs="Times New Roman"/>
          <w:color w:val="000000"/>
          <w:lang w:val="hr-HR" w:eastAsia="bs-Latn-BA"/>
        </w:rPr>
        <w:t>Agencija u narednom periodu planira intezivirati ovu nadležnost, jer u proteklim godinama, kada je praćenje imalo svrhu upozoravanja na pogrešna postupanja,  djelov</w:t>
      </w:r>
      <w:r w:rsidR="00F56A14">
        <w:rPr>
          <w:rFonts w:cs="Times New Roman"/>
          <w:color w:val="000000"/>
          <w:lang w:val="hr-HR" w:eastAsia="bs-Latn-BA"/>
        </w:rPr>
        <w:t>alo i preventivno i edukativno,</w:t>
      </w:r>
      <w:r w:rsidR="00090ABB">
        <w:rPr>
          <w:rFonts w:cs="Times New Roman"/>
          <w:color w:val="000000"/>
          <w:lang w:val="hr-HR" w:eastAsia="bs-Latn-BA"/>
        </w:rPr>
        <w:t xml:space="preserve"> </w:t>
      </w:r>
      <w:r w:rsidR="00F56A14">
        <w:rPr>
          <w:rFonts w:cs="Times New Roman"/>
          <w:color w:val="000000"/>
          <w:lang w:val="hr-HR" w:eastAsia="bs-Latn-BA"/>
        </w:rPr>
        <w:t xml:space="preserve">nisu se postigli puni </w:t>
      </w:r>
      <w:r w:rsidR="00090ABB">
        <w:rPr>
          <w:rFonts w:cs="Times New Roman"/>
          <w:color w:val="000000"/>
          <w:lang w:val="hr-HR" w:eastAsia="bs-Latn-BA"/>
        </w:rPr>
        <w:t>efekti preveniranja potencijalnih zloupotreba i korupcije. Stoga je nužno potrebno obezbj</w:t>
      </w:r>
      <w:r w:rsidR="00F56A14">
        <w:rPr>
          <w:rFonts w:cs="Times New Roman"/>
          <w:color w:val="000000"/>
          <w:lang w:val="hr-HR" w:eastAsia="bs-Latn-BA"/>
        </w:rPr>
        <w:t>e</w:t>
      </w:r>
      <w:r w:rsidR="00090ABB">
        <w:rPr>
          <w:rFonts w:cs="Times New Roman"/>
          <w:color w:val="000000"/>
          <w:lang w:val="hr-HR" w:eastAsia="bs-Latn-BA"/>
        </w:rPr>
        <w:t xml:space="preserve">diti Agenciji i finansijsko i kadrovsko jačanje u realizaciji ove nadležnosti. </w:t>
      </w:r>
    </w:p>
    <w:p w:rsidR="00B5552A" w:rsidRDefault="00B5552A" w:rsidP="004D31A0">
      <w:pPr>
        <w:spacing w:after="0" w:line="240" w:lineRule="auto"/>
        <w:jc w:val="center"/>
        <w:rPr>
          <w:rFonts w:cs="Times New Roman"/>
          <w:color w:val="000000"/>
          <w:lang w:val="hr-HR" w:eastAsia="bs-Latn-BA"/>
        </w:rPr>
      </w:pPr>
    </w:p>
    <w:p w:rsidR="00357709" w:rsidRPr="0035194A" w:rsidRDefault="00357709" w:rsidP="00CC506F">
      <w:pPr>
        <w:pStyle w:val="ListParagraph"/>
        <w:numPr>
          <w:ilvl w:val="0"/>
          <w:numId w:val="2"/>
        </w:numPr>
        <w:spacing w:after="0" w:line="240" w:lineRule="auto"/>
        <w:jc w:val="both"/>
        <w:rPr>
          <w:rFonts w:cs="Times New Roman"/>
          <w:b/>
          <w:color w:val="000000"/>
          <w:sz w:val="24"/>
          <w:szCs w:val="24"/>
          <w:lang w:val="hr-HR" w:eastAsia="bs-Latn-BA"/>
        </w:rPr>
      </w:pPr>
      <w:r w:rsidRPr="0035194A">
        <w:rPr>
          <w:rFonts w:cs="Times New Roman"/>
          <w:b/>
          <w:color w:val="000000"/>
          <w:sz w:val="24"/>
          <w:szCs w:val="24"/>
          <w:lang w:val="hr-HR" w:eastAsia="bs-Latn-BA"/>
        </w:rPr>
        <w:t xml:space="preserve">Planiranje </w:t>
      </w:r>
      <w:r w:rsidR="00CD069B">
        <w:rPr>
          <w:rFonts w:cs="Times New Roman"/>
          <w:b/>
          <w:color w:val="000000"/>
          <w:sz w:val="24"/>
          <w:szCs w:val="24"/>
          <w:lang w:val="hr-HR" w:eastAsia="bs-Latn-BA"/>
        </w:rPr>
        <w:t xml:space="preserve">i realizacija </w:t>
      </w:r>
      <w:r w:rsidRPr="0035194A">
        <w:rPr>
          <w:rFonts w:cs="Times New Roman"/>
          <w:b/>
          <w:color w:val="000000"/>
          <w:sz w:val="24"/>
          <w:szCs w:val="24"/>
          <w:lang w:val="hr-HR" w:eastAsia="bs-Latn-BA"/>
        </w:rPr>
        <w:t>nabavki</w:t>
      </w:r>
    </w:p>
    <w:p w:rsidR="00357709" w:rsidRPr="00335CF5" w:rsidRDefault="00357709" w:rsidP="00357709">
      <w:pPr>
        <w:spacing w:after="0" w:line="240" w:lineRule="auto"/>
        <w:jc w:val="both"/>
        <w:rPr>
          <w:rFonts w:cs="Times New Roman"/>
          <w:b/>
          <w:color w:val="000000"/>
          <w:lang w:val="hr-HR" w:eastAsia="bs-Latn-BA"/>
        </w:rPr>
      </w:pPr>
    </w:p>
    <w:p w:rsidR="0048738D" w:rsidRDefault="00357709" w:rsidP="00357709">
      <w:pPr>
        <w:spacing w:after="0" w:line="240" w:lineRule="auto"/>
        <w:jc w:val="both"/>
        <w:rPr>
          <w:rFonts w:cs="Times New Roman"/>
          <w:color w:val="000000"/>
          <w:lang w:val="hr-HR" w:eastAsia="bs-Latn-BA"/>
        </w:rPr>
      </w:pPr>
      <w:r w:rsidRPr="00335CF5">
        <w:rPr>
          <w:rFonts w:cs="Times New Roman"/>
          <w:color w:val="000000"/>
          <w:lang w:val="hr-HR" w:eastAsia="bs-Latn-BA"/>
        </w:rPr>
        <w:t>Planiranje nabavki u B</w:t>
      </w:r>
      <w:r w:rsidR="00F56A14">
        <w:rPr>
          <w:rFonts w:cs="Times New Roman"/>
          <w:color w:val="000000"/>
          <w:lang w:val="hr-HR" w:eastAsia="bs-Latn-BA"/>
        </w:rPr>
        <w:t>osni i Hercegovini predstavlja</w:t>
      </w:r>
      <w:r w:rsidRPr="00335CF5">
        <w:rPr>
          <w:rFonts w:cs="Times New Roman"/>
          <w:color w:val="000000"/>
          <w:lang w:val="hr-HR" w:eastAsia="bs-Latn-BA"/>
        </w:rPr>
        <w:t xml:space="preserve"> jedan od osnovnih problema u funkci</w:t>
      </w:r>
      <w:r w:rsidR="00C67C72" w:rsidRPr="00335CF5">
        <w:rPr>
          <w:rFonts w:cs="Times New Roman"/>
          <w:color w:val="000000"/>
          <w:lang w:val="hr-HR" w:eastAsia="bs-Latn-BA"/>
        </w:rPr>
        <w:t>oniranju sistema javnih nabavki, odnosno planiranje je jedna od bitnih slabosti sistema javnih nabavki u BiH</w:t>
      </w:r>
      <w:r w:rsidR="00C67C72" w:rsidRPr="00335CF5">
        <w:rPr>
          <w:rStyle w:val="FootnoteReference"/>
          <w:rFonts w:cs="Times New Roman"/>
          <w:color w:val="000000"/>
          <w:lang w:val="hr-HR" w:eastAsia="bs-Latn-BA"/>
        </w:rPr>
        <w:footnoteReference w:id="4"/>
      </w:r>
      <w:r w:rsidR="00C67C72" w:rsidRPr="00335CF5">
        <w:rPr>
          <w:rFonts w:cs="Times New Roman"/>
          <w:color w:val="000000"/>
          <w:lang w:val="hr-HR" w:eastAsia="bs-Latn-BA"/>
        </w:rPr>
        <w:t xml:space="preserve"> </w:t>
      </w:r>
      <w:r w:rsidRPr="00335CF5">
        <w:rPr>
          <w:rFonts w:cs="Times New Roman"/>
          <w:color w:val="000000"/>
          <w:lang w:val="hr-HR" w:eastAsia="bs-Latn-BA"/>
        </w:rPr>
        <w:t xml:space="preserve"> Naime, pravovremeno usvojeni planovi javnih nabavki su osnova za pravovremeno pokretanje postupaka javnih nabavki. Agencija za javne nabavke </w:t>
      </w:r>
      <w:r w:rsidR="001626C0">
        <w:rPr>
          <w:rFonts w:cs="Times New Roman"/>
          <w:color w:val="000000"/>
          <w:lang w:val="hr-HR" w:eastAsia="bs-Latn-BA"/>
        </w:rPr>
        <w:t xml:space="preserve">je </w:t>
      </w:r>
      <w:r w:rsidRPr="00335CF5">
        <w:rPr>
          <w:rFonts w:cs="Times New Roman"/>
          <w:color w:val="000000"/>
          <w:lang w:val="hr-HR" w:eastAsia="bs-Latn-BA"/>
        </w:rPr>
        <w:t xml:space="preserve">u </w:t>
      </w:r>
      <w:r w:rsidR="0048738D">
        <w:rPr>
          <w:rFonts w:cs="Times New Roman"/>
          <w:color w:val="000000"/>
          <w:lang w:val="hr-HR" w:eastAsia="bs-Latn-BA"/>
        </w:rPr>
        <w:t>proteklom periodu pratila planove nabavki ugovornih organ, kao i realizaciju ugovora i utvrdila slijedeće:</w:t>
      </w:r>
    </w:p>
    <w:p w:rsidR="0048738D" w:rsidRDefault="0048738D" w:rsidP="00357709">
      <w:pPr>
        <w:spacing w:after="0" w:line="240" w:lineRule="auto"/>
        <w:jc w:val="both"/>
        <w:rPr>
          <w:rFonts w:cs="Times New Roman"/>
          <w:color w:val="000000"/>
          <w:lang w:val="hr-HR" w:eastAsia="bs-Latn-BA"/>
        </w:rPr>
      </w:pPr>
    </w:p>
    <w:p w:rsidR="0048738D" w:rsidRPr="00335CF5" w:rsidRDefault="0048738D" w:rsidP="0048738D">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Planovi nabavki na web stranicama su različito dostupni,</w:t>
      </w:r>
    </w:p>
    <w:p w:rsidR="0048738D" w:rsidRPr="00335CF5" w:rsidRDefault="0048738D" w:rsidP="0048738D">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Podaci koje sadrže planovi nabavki su različiti,</w:t>
      </w:r>
    </w:p>
    <w:p w:rsidR="0048738D" w:rsidRPr="00335CF5" w:rsidRDefault="0048738D" w:rsidP="0048738D">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Planovi nabavki kod velikih sistema koji imaju i zavisna društva (elektroenergetski sektor) su nepregledni, izmješani, teško je izdvojiti plan nabavki matičnog društva od planova nabavki zavisnih društava;</w:t>
      </w:r>
    </w:p>
    <w:p w:rsidR="0048738D" w:rsidRPr="00335CF5" w:rsidRDefault="0048738D" w:rsidP="0048738D">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Objava nabavki malih vrijednosti se sporadično objavljuje, iako se zbirno, po ugovornom orga</w:t>
      </w:r>
      <w:r>
        <w:rPr>
          <w:rFonts w:cs="Times New Roman"/>
          <w:color w:val="000000"/>
          <w:lang w:val="hr-HR" w:eastAsia="bs-Latn-BA"/>
        </w:rPr>
        <w:t>nu radi o velikim vrijednostima.</w:t>
      </w:r>
    </w:p>
    <w:p w:rsidR="0048738D" w:rsidRDefault="0048738D" w:rsidP="00357709">
      <w:pPr>
        <w:spacing w:after="0" w:line="240" w:lineRule="auto"/>
        <w:jc w:val="both"/>
        <w:rPr>
          <w:rFonts w:cs="Times New Roman"/>
          <w:color w:val="000000"/>
          <w:lang w:val="hr-HR" w:eastAsia="bs-Latn-BA"/>
        </w:rPr>
      </w:pPr>
    </w:p>
    <w:p w:rsidR="00986C51" w:rsidRPr="00335CF5" w:rsidRDefault="00986C51" w:rsidP="00986C51">
      <w:pPr>
        <w:pStyle w:val="NormalWeb"/>
        <w:spacing w:before="0" w:beforeAutospacing="0" w:after="0" w:afterAutospacing="0"/>
        <w:jc w:val="both"/>
        <w:rPr>
          <w:rStyle w:val="Strong"/>
          <w:rFonts w:asciiTheme="minorHAnsi" w:hAnsiTheme="minorHAnsi"/>
          <w:b w:val="0"/>
          <w:sz w:val="22"/>
          <w:szCs w:val="22"/>
        </w:rPr>
      </w:pPr>
      <w:r w:rsidRPr="00335CF5">
        <w:rPr>
          <w:rFonts w:asciiTheme="minorHAnsi" w:hAnsiTheme="minorHAnsi"/>
          <w:sz w:val="22"/>
          <w:szCs w:val="22"/>
        </w:rPr>
        <w:t>Ured za reviziju Bosne i Hercegovine je sačinio izvještaj Revizije učinka: „Blagovremenost postupaka javnih nabavki u institucijama BiH“, a Vijeće ministara BiH je zadužilo Agenciju da sačini izvještaj o realiziranim preporukama i u Izvještaju navela</w:t>
      </w:r>
      <w:r w:rsidR="00F65DD4" w:rsidRPr="00335CF5">
        <w:rPr>
          <w:rFonts w:asciiTheme="minorHAnsi" w:hAnsiTheme="minorHAnsi"/>
          <w:sz w:val="22"/>
          <w:szCs w:val="22"/>
        </w:rPr>
        <w:t>:</w:t>
      </w:r>
    </w:p>
    <w:p w:rsidR="005B33C5" w:rsidRPr="00335CF5" w:rsidRDefault="005B33C5" w:rsidP="005B33C5">
      <w:pPr>
        <w:spacing w:after="0" w:line="240" w:lineRule="auto"/>
        <w:jc w:val="both"/>
        <w:rPr>
          <w:rFonts w:cs="Times New Roman"/>
          <w:color w:val="000000"/>
          <w:lang w:val="hr-HR" w:eastAsia="bs-Latn-BA"/>
        </w:rPr>
      </w:pPr>
    </w:p>
    <w:p w:rsidR="005B33C5" w:rsidRPr="00335CF5" w:rsidRDefault="005B33C5" w:rsidP="005B33C5">
      <w:pPr>
        <w:spacing w:after="0" w:line="240" w:lineRule="auto"/>
        <w:jc w:val="both"/>
        <w:rPr>
          <w:rStyle w:val="Strong"/>
          <w:b w:val="0"/>
          <w:i/>
        </w:rPr>
      </w:pPr>
      <w:r w:rsidRPr="00335CF5">
        <w:rPr>
          <w:rStyle w:val="Strong"/>
          <w:b w:val="0"/>
          <w:i/>
        </w:rPr>
        <w:t>„Agencija je izvršila praćenje 73 institucije BIH. Od 73 institucije BIH koje su bile pregled praćenja, dopis je poslan prema 36 institucija za očitovanje zašto nisu objavile plan nabavki na svojoj web stranici prema članu 17. Zakona.</w:t>
      </w:r>
      <w:r w:rsidR="00FC272C">
        <w:rPr>
          <w:rStyle w:val="Strong"/>
          <w:b w:val="0"/>
          <w:i/>
        </w:rPr>
        <w:t>“</w:t>
      </w:r>
      <w:r w:rsidRPr="00335CF5">
        <w:rPr>
          <w:rStyle w:val="Strong"/>
          <w:b w:val="0"/>
          <w:i/>
        </w:rPr>
        <w:t xml:space="preserve"> </w:t>
      </w:r>
    </w:p>
    <w:p w:rsidR="005B33C5" w:rsidRPr="00335CF5" w:rsidRDefault="005B33C5" w:rsidP="005B33C5">
      <w:pPr>
        <w:spacing w:after="0" w:line="240" w:lineRule="auto"/>
        <w:jc w:val="both"/>
        <w:rPr>
          <w:rStyle w:val="Strong"/>
          <w:b w:val="0"/>
          <w:i/>
        </w:rPr>
      </w:pPr>
    </w:p>
    <w:p w:rsidR="009E0A6B" w:rsidRPr="0048738D" w:rsidRDefault="00DA68CF" w:rsidP="0048738D">
      <w:pPr>
        <w:spacing w:after="0" w:line="240" w:lineRule="auto"/>
        <w:jc w:val="both"/>
        <w:rPr>
          <w:rFonts w:cs="Times New Roman"/>
          <w:bCs/>
        </w:rPr>
      </w:pPr>
      <w:r w:rsidRPr="00335CF5">
        <w:rPr>
          <w:rStyle w:val="Strong"/>
          <w:b w:val="0"/>
        </w:rPr>
        <w:t xml:space="preserve">Ovdje je važno naglasiti da većina institucija koja nije objavila plan nabavki, imaju nabavke malih vrijednosti za koje ne postoji zakonska obaveza objavljivanja. </w:t>
      </w:r>
      <w:r w:rsidR="0048738D">
        <w:rPr>
          <w:rStyle w:val="Strong"/>
          <w:b w:val="0"/>
        </w:rPr>
        <w:t>Prateći planove nabavki i realizaciju ugovora, Agencija je identifikovala slijedeće:</w:t>
      </w:r>
    </w:p>
    <w:p w:rsidR="007F54AE" w:rsidRPr="00335CF5" w:rsidRDefault="007F54AE" w:rsidP="007F54AE">
      <w:pPr>
        <w:pStyle w:val="ListParagraph"/>
        <w:numPr>
          <w:ilvl w:val="0"/>
          <w:numId w:val="5"/>
        </w:numPr>
        <w:spacing w:after="0" w:line="240" w:lineRule="auto"/>
        <w:rPr>
          <w:rFonts w:cs="Times New Roman"/>
        </w:rPr>
      </w:pPr>
      <w:r w:rsidRPr="00335CF5">
        <w:rPr>
          <w:rFonts w:cs="Times New Roman"/>
        </w:rPr>
        <w:t>Kasno usvajnje finansijskog plana,</w:t>
      </w:r>
    </w:p>
    <w:p w:rsidR="007F54AE" w:rsidRPr="00335CF5" w:rsidRDefault="007F54AE" w:rsidP="007F54AE">
      <w:pPr>
        <w:pStyle w:val="ListParagraph"/>
        <w:numPr>
          <w:ilvl w:val="0"/>
          <w:numId w:val="5"/>
        </w:numPr>
        <w:spacing w:after="0" w:line="240" w:lineRule="auto"/>
        <w:rPr>
          <w:rFonts w:cs="Times New Roman"/>
        </w:rPr>
      </w:pPr>
      <w:r w:rsidRPr="00335CF5">
        <w:rPr>
          <w:rFonts w:cs="Times New Roman"/>
        </w:rPr>
        <w:t>Kašnjenje u donošenju plana nabavki,</w:t>
      </w:r>
    </w:p>
    <w:p w:rsidR="007F54AE" w:rsidRPr="00335CF5" w:rsidRDefault="007F54AE" w:rsidP="007F54AE">
      <w:pPr>
        <w:pStyle w:val="ListParagraph"/>
        <w:numPr>
          <w:ilvl w:val="0"/>
          <w:numId w:val="5"/>
        </w:numPr>
        <w:spacing w:after="0" w:line="240" w:lineRule="auto"/>
        <w:rPr>
          <w:rFonts w:cs="Times New Roman"/>
        </w:rPr>
      </w:pPr>
      <w:r w:rsidRPr="00335CF5">
        <w:rPr>
          <w:rFonts w:cs="Times New Roman"/>
        </w:rPr>
        <w:t>Svi imaju interna akta kojim je definisan proces planiranja,</w:t>
      </w:r>
    </w:p>
    <w:p w:rsidR="007F54AE" w:rsidRPr="00335CF5" w:rsidRDefault="007F54AE" w:rsidP="007F54AE">
      <w:pPr>
        <w:pStyle w:val="ListParagraph"/>
        <w:numPr>
          <w:ilvl w:val="0"/>
          <w:numId w:val="5"/>
        </w:numPr>
        <w:spacing w:after="0" w:line="240" w:lineRule="auto"/>
        <w:rPr>
          <w:rFonts w:cs="Times New Roman"/>
        </w:rPr>
      </w:pPr>
      <w:r w:rsidRPr="00335CF5">
        <w:rPr>
          <w:rFonts w:cs="Times New Roman"/>
        </w:rPr>
        <w:t>Interni monitoring postupaka javnih nabavki se radi sporadično,</w:t>
      </w:r>
    </w:p>
    <w:p w:rsidR="007F54AE" w:rsidRPr="00335CF5" w:rsidRDefault="007F54AE" w:rsidP="007F54AE">
      <w:pPr>
        <w:pStyle w:val="ListParagraph"/>
        <w:numPr>
          <w:ilvl w:val="0"/>
          <w:numId w:val="5"/>
        </w:numPr>
        <w:spacing w:after="0" w:line="240" w:lineRule="auto"/>
        <w:rPr>
          <w:rFonts w:cs="Times New Roman"/>
        </w:rPr>
      </w:pPr>
      <w:r w:rsidRPr="00335CF5">
        <w:rPr>
          <w:rFonts w:cs="Times New Roman"/>
        </w:rPr>
        <w:t>Ispitivanje tržišta vrlo ograničeno,</w:t>
      </w:r>
    </w:p>
    <w:p w:rsidR="00EE45CF" w:rsidRPr="00335CF5" w:rsidRDefault="00EE45CF" w:rsidP="007F54AE">
      <w:pPr>
        <w:pStyle w:val="ListParagraph"/>
        <w:numPr>
          <w:ilvl w:val="0"/>
          <w:numId w:val="5"/>
        </w:numPr>
        <w:spacing w:after="0" w:line="240" w:lineRule="auto"/>
        <w:rPr>
          <w:rFonts w:cs="Times New Roman"/>
        </w:rPr>
      </w:pPr>
      <w:r w:rsidRPr="00335CF5">
        <w:rPr>
          <w:rFonts w:cs="Times New Roman"/>
        </w:rPr>
        <w:t>Česte izmjene planova nabavki,</w:t>
      </w:r>
    </w:p>
    <w:p w:rsidR="00EE45CF" w:rsidRPr="00335CF5" w:rsidRDefault="00EE45CF" w:rsidP="007F54AE">
      <w:pPr>
        <w:pStyle w:val="ListParagraph"/>
        <w:numPr>
          <w:ilvl w:val="0"/>
          <w:numId w:val="5"/>
        </w:numPr>
        <w:spacing w:after="0" w:line="240" w:lineRule="auto"/>
        <w:rPr>
          <w:rFonts w:cs="Times New Roman"/>
        </w:rPr>
      </w:pPr>
      <w:r w:rsidRPr="00335CF5">
        <w:rPr>
          <w:rFonts w:cs="Times New Roman"/>
        </w:rPr>
        <w:t>Veći broj pregovaračkih postupaka bez objave obavještenja u odnosu na planirani broj.</w:t>
      </w:r>
    </w:p>
    <w:p w:rsidR="00A76810" w:rsidRDefault="00A76810" w:rsidP="00A76810">
      <w:pPr>
        <w:spacing w:after="0" w:line="240" w:lineRule="auto"/>
        <w:jc w:val="both"/>
      </w:pPr>
      <w:r w:rsidRPr="00335CF5">
        <w:lastRenderedPageBreak/>
        <w:t>Slijedeći trend vezano za planiranje je netransparentnost planiranih postupaka nabavke male vrijednosti, jer ugovorni  organi  nemaju zakonsku ob</w:t>
      </w:r>
      <w:r>
        <w:t>avezu da ih objavljuju u planovima, ali kroz Nacrt zakona o izmjenama i dopunama Zakona o javnim nabavkama predviđena je obaveza objave i postupaka nabavke male vrijednosti u planovima nabavki.</w:t>
      </w:r>
    </w:p>
    <w:p w:rsidR="00EE45CF" w:rsidRPr="00335CF5" w:rsidRDefault="00EE45CF" w:rsidP="00EE45CF">
      <w:pPr>
        <w:spacing w:after="0" w:line="240" w:lineRule="auto"/>
        <w:rPr>
          <w:rFonts w:cs="Times New Roman"/>
        </w:rPr>
      </w:pPr>
    </w:p>
    <w:p w:rsidR="00C30960" w:rsidRDefault="00C30960" w:rsidP="00C30960">
      <w:pPr>
        <w:spacing w:after="0" w:line="240" w:lineRule="auto"/>
        <w:jc w:val="both"/>
        <w:rPr>
          <w:rFonts w:cs="Times New Roman"/>
          <w:color w:val="000000"/>
          <w:lang w:val="hr-HR" w:eastAsia="bs-Latn-BA"/>
        </w:rPr>
      </w:pPr>
      <w:r w:rsidRPr="00335CF5">
        <w:rPr>
          <w:rFonts w:cs="Times New Roman"/>
          <w:color w:val="000000"/>
          <w:lang w:val="hr-HR" w:eastAsia="bs-Latn-BA"/>
        </w:rPr>
        <w:t>Nadalje, u posmatranom izvještajnom periodu utvrđeno je da ugovorni organi nemaju usvojene planove nabavi, ali zbog redovnih poslovnih procesa moraju da nabavljaju, robe, usluge ili radove, i to prema privremenim planovima, ili donošenjem posebnih odluka o pokr</w:t>
      </w:r>
      <w:r w:rsidR="00116B41" w:rsidRPr="00335CF5">
        <w:rPr>
          <w:rFonts w:cs="Times New Roman"/>
          <w:color w:val="000000"/>
          <w:lang w:val="hr-HR" w:eastAsia="bs-Latn-BA"/>
        </w:rPr>
        <w:t>etanju postupaka javne nabavke, što predstavlja lošu praksu u javnim nabavkama.</w:t>
      </w:r>
      <w:r w:rsidR="00090ABB">
        <w:rPr>
          <w:rFonts w:cs="Times New Roman"/>
          <w:color w:val="000000"/>
          <w:lang w:val="hr-HR" w:eastAsia="bs-Latn-BA"/>
        </w:rPr>
        <w:t xml:space="preserve">Kako bi se </w:t>
      </w:r>
      <w:r w:rsidR="00EE45CF" w:rsidRPr="00335CF5">
        <w:rPr>
          <w:rFonts w:cs="Times New Roman"/>
          <w:color w:val="000000"/>
          <w:lang w:val="hr-HR" w:eastAsia="bs-Latn-BA"/>
        </w:rPr>
        <w:t xml:space="preserve">da bi se unaprijedio cjelokupan proces planiranja </w:t>
      </w:r>
      <w:r w:rsidR="00090ABB">
        <w:rPr>
          <w:rFonts w:cs="Times New Roman"/>
          <w:color w:val="000000"/>
          <w:lang w:val="hr-HR" w:eastAsia="bs-Latn-BA"/>
        </w:rPr>
        <w:t xml:space="preserve">javnih nabavki, </w:t>
      </w:r>
      <w:r w:rsidR="00EE45CF" w:rsidRPr="00335CF5">
        <w:rPr>
          <w:rFonts w:cs="Times New Roman"/>
          <w:color w:val="000000"/>
          <w:lang w:val="hr-HR" w:eastAsia="bs-Latn-BA"/>
        </w:rPr>
        <w:t>potrebno je:</w:t>
      </w:r>
    </w:p>
    <w:p w:rsidR="0035332F" w:rsidRPr="00335CF5" w:rsidRDefault="0035332F" w:rsidP="00C30960">
      <w:pPr>
        <w:spacing w:after="0" w:line="240" w:lineRule="auto"/>
        <w:jc w:val="both"/>
        <w:rPr>
          <w:rFonts w:cs="Times New Roman"/>
          <w:color w:val="000000"/>
          <w:lang w:val="hr-HR" w:eastAsia="bs-Latn-BA"/>
        </w:rPr>
      </w:pPr>
    </w:p>
    <w:p w:rsidR="00EE45CF" w:rsidRPr="00335CF5" w:rsidRDefault="00090ABB" w:rsidP="00EE45CF">
      <w:pPr>
        <w:pStyle w:val="ListParagraph"/>
        <w:numPr>
          <w:ilvl w:val="0"/>
          <w:numId w:val="8"/>
        </w:numPr>
        <w:spacing w:after="0" w:line="240" w:lineRule="auto"/>
        <w:jc w:val="both"/>
        <w:rPr>
          <w:rFonts w:cs="Times New Roman"/>
          <w:color w:val="000000"/>
          <w:lang w:val="hr-HR" w:eastAsia="bs-Latn-BA"/>
        </w:rPr>
      </w:pPr>
      <w:r>
        <w:rPr>
          <w:rFonts w:cs="Times New Roman"/>
          <w:color w:val="000000"/>
          <w:lang w:val="hr-HR" w:eastAsia="bs-Latn-BA"/>
        </w:rPr>
        <w:t>p</w:t>
      </w:r>
      <w:r w:rsidR="00FC272C">
        <w:rPr>
          <w:rFonts w:cs="Times New Roman"/>
          <w:color w:val="000000"/>
          <w:lang w:val="hr-HR" w:eastAsia="bs-Latn-BA"/>
        </w:rPr>
        <w:t>r</w:t>
      </w:r>
      <w:r>
        <w:rPr>
          <w:rFonts w:cs="Times New Roman"/>
          <w:color w:val="000000"/>
          <w:lang w:val="hr-HR" w:eastAsia="bs-Latn-BA"/>
        </w:rPr>
        <w:t>a</w:t>
      </w:r>
      <w:r w:rsidR="00FC272C">
        <w:rPr>
          <w:rFonts w:cs="Times New Roman"/>
          <w:color w:val="000000"/>
          <w:lang w:val="hr-HR" w:eastAsia="bs-Latn-BA"/>
        </w:rPr>
        <w:t>vovremeno</w:t>
      </w:r>
      <w:r w:rsidR="00EE45CF" w:rsidRPr="00335CF5">
        <w:rPr>
          <w:rFonts w:cs="Times New Roman"/>
          <w:color w:val="000000"/>
          <w:lang w:val="hr-HR" w:eastAsia="bs-Latn-BA"/>
        </w:rPr>
        <w:t xml:space="preserve"> usvajati budžete i finansijske planove (najkasnije u IV kvartalu tekuće godine za narednu godinu),</w:t>
      </w:r>
    </w:p>
    <w:p w:rsidR="00EE45CF" w:rsidRPr="00335CF5" w:rsidRDefault="00090ABB" w:rsidP="00EE45CF">
      <w:pPr>
        <w:pStyle w:val="ListParagraph"/>
        <w:numPr>
          <w:ilvl w:val="0"/>
          <w:numId w:val="8"/>
        </w:numPr>
        <w:spacing w:after="0" w:line="240" w:lineRule="auto"/>
        <w:jc w:val="both"/>
        <w:rPr>
          <w:rFonts w:cs="Times New Roman"/>
          <w:color w:val="000000"/>
          <w:lang w:val="hr-HR" w:eastAsia="bs-Latn-BA"/>
        </w:rPr>
      </w:pPr>
      <w:r>
        <w:rPr>
          <w:rFonts w:cs="Times New Roman"/>
          <w:color w:val="000000"/>
          <w:lang w:val="hr-HR" w:eastAsia="bs-Latn-BA"/>
        </w:rPr>
        <w:t>d</w:t>
      </w:r>
      <w:r w:rsidR="00EE45CF" w:rsidRPr="00335CF5">
        <w:rPr>
          <w:rFonts w:cs="Times New Roman"/>
          <w:color w:val="000000"/>
          <w:lang w:val="hr-HR" w:eastAsia="bs-Latn-BA"/>
        </w:rPr>
        <w:t xml:space="preserve">efinisati Zakonom o javnim nabavkama i podzakonskim aktima slijedeće: </w:t>
      </w:r>
    </w:p>
    <w:p w:rsidR="00EE45CF" w:rsidRPr="00335CF5" w:rsidRDefault="00EE45CF" w:rsidP="00EE45CF">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obavezne elemente koje mora sadržavati plan nabavki;</w:t>
      </w:r>
    </w:p>
    <w:p w:rsidR="00EE45CF" w:rsidRPr="00335CF5" w:rsidRDefault="00090ABB" w:rsidP="00EE45CF">
      <w:pPr>
        <w:pStyle w:val="ListParagraph"/>
        <w:numPr>
          <w:ilvl w:val="0"/>
          <w:numId w:val="5"/>
        </w:numPr>
        <w:spacing w:after="0" w:line="240" w:lineRule="auto"/>
        <w:jc w:val="both"/>
        <w:rPr>
          <w:rFonts w:cs="Times New Roman"/>
          <w:color w:val="000000"/>
          <w:lang w:val="hr-HR" w:eastAsia="bs-Latn-BA"/>
        </w:rPr>
      </w:pPr>
      <w:r>
        <w:rPr>
          <w:rFonts w:cs="Times New Roman"/>
          <w:color w:val="000000"/>
          <w:lang w:val="hr-HR" w:eastAsia="bs-Latn-BA"/>
        </w:rPr>
        <w:t>o</w:t>
      </w:r>
      <w:r w:rsidR="00EE45CF" w:rsidRPr="00335CF5">
        <w:rPr>
          <w:rFonts w:cs="Times New Roman"/>
          <w:color w:val="000000"/>
          <w:lang w:val="hr-HR" w:eastAsia="bs-Latn-BA"/>
        </w:rPr>
        <w:t>bavezna objava postupaka male vrijednosti u planovima nabavki;</w:t>
      </w:r>
    </w:p>
    <w:p w:rsidR="00EE45CF" w:rsidRPr="00335CF5" w:rsidRDefault="00EE45CF" w:rsidP="00EE45CF">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obaveznu objavu planova nabavki na Portalu javnih nabavki (ova mogućnost već postoji ali nije obavezna);</w:t>
      </w:r>
    </w:p>
    <w:p w:rsidR="00EE45CF" w:rsidRPr="00335CF5" w:rsidRDefault="00EE45CF" w:rsidP="00EE45CF">
      <w:pPr>
        <w:pStyle w:val="ListParagraph"/>
        <w:numPr>
          <w:ilvl w:val="0"/>
          <w:numId w:val="5"/>
        </w:numPr>
        <w:spacing w:after="0" w:line="240" w:lineRule="auto"/>
        <w:jc w:val="both"/>
        <w:rPr>
          <w:rFonts w:cs="Times New Roman"/>
          <w:color w:val="000000"/>
          <w:lang w:val="hr-HR" w:eastAsia="bs-Latn-BA"/>
        </w:rPr>
      </w:pPr>
      <w:r w:rsidRPr="00335CF5">
        <w:rPr>
          <w:rFonts w:cs="Times New Roman"/>
          <w:color w:val="000000"/>
          <w:lang w:val="hr-HR" w:eastAsia="bs-Latn-BA"/>
        </w:rPr>
        <w:t>definisati način objave planova nabavki kod velikih sistema, koji u svom sastavu imaju zavisna društva</w:t>
      </w:r>
      <w:r w:rsidR="00FC272C">
        <w:rPr>
          <w:rFonts w:cs="Times New Roman"/>
          <w:color w:val="000000"/>
          <w:lang w:val="hr-HR" w:eastAsia="bs-Latn-BA"/>
        </w:rPr>
        <w:t xml:space="preserve"> ( konsolidovani planovi nabavki)</w:t>
      </w:r>
      <w:r w:rsidRPr="00335CF5">
        <w:rPr>
          <w:rFonts w:cs="Times New Roman"/>
          <w:color w:val="000000"/>
          <w:lang w:val="hr-HR" w:eastAsia="bs-Latn-BA"/>
        </w:rPr>
        <w:t>;</w:t>
      </w:r>
    </w:p>
    <w:p w:rsidR="00D544C3" w:rsidRPr="00335CF5" w:rsidRDefault="00090ABB" w:rsidP="00EE45CF">
      <w:pPr>
        <w:pStyle w:val="ListParagraph"/>
        <w:numPr>
          <w:ilvl w:val="0"/>
          <w:numId w:val="5"/>
        </w:numPr>
        <w:spacing w:after="0" w:line="240" w:lineRule="auto"/>
        <w:jc w:val="both"/>
        <w:rPr>
          <w:rFonts w:cs="Times New Roman"/>
          <w:color w:val="000000"/>
          <w:lang w:val="hr-HR" w:eastAsia="bs-Latn-BA"/>
        </w:rPr>
      </w:pPr>
      <w:r>
        <w:rPr>
          <w:rFonts w:cs="Times New Roman"/>
          <w:color w:val="000000"/>
          <w:lang w:val="hr-HR" w:eastAsia="bs-Latn-BA"/>
        </w:rPr>
        <w:t>k</w:t>
      </w:r>
      <w:r w:rsidR="00D544C3" w:rsidRPr="00335CF5">
        <w:rPr>
          <w:rFonts w:cs="Times New Roman"/>
          <w:color w:val="000000"/>
          <w:lang w:val="hr-HR" w:eastAsia="bs-Latn-BA"/>
        </w:rPr>
        <w:t>roz edukaciju obratiti posebnu pažnju na proces planiranja.</w:t>
      </w:r>
    </w:p>
    <w:p w:rsidR="00DA2E4D" w:rsidRPr="00335CF5" w:rsidRDefault="00DA2E4D" w:rsidP="00D544C3">
      <w:pPr>
        <w:spacing w:after="0" w:line="240" w:lineRule="auto"/>
        <w:jc w:val="both"/>
        <w:rPr>
          <w:rFonts w:cs="Times New Roman"/>
          <w:color w:val="000000"/>
          <w:lang w:val="hr-HR" w:eastAsia="bs-Latn-BA"/>
        </w:rPr>
      </w:pPr>
    </w:p>
    <w:p w:rsidR="00832E29" w:rsidRDefault="00DA2E4D" w:rsidP="00832E29">
      <w:pPr>
        <w:spacing w:after="0" w:line="240" w:lineRule="auto"/>
        <w:jc w:val="both"/>
        <w:rPr>
          <w:rFonts w:cs="Times New Roman"/>
        </w:rPr>
      </w:pPr>
      <w:r w:rsidRPr="00335CF5">
        <w:rPr>
          <w:rFonts w:cs="Times New Roman"/>
          <w:color w:val="000000"/>
          <w:lang w:val="hr-HR" w:eastAsia="bs-Latn-BA"/>
        </w:rPr>
        <w:t>Realizacija ugovora predstavlja jedan od pokazatelja efikasnosti i kvaliteta sistema javnih nabavki.</w:t>
      </w:r>
      <w:r w:rsidR="00832E29" w:rsidRPr="00335CF5">
        <w:rPr>
          <w:rFonts w:cs="Times New Roman"/>
          <w:color w:val="000000"/>
          <w:lang w:val="hr-HR" w:eastAsia="bs-Latn-BA"/>
        </w:rPr>
        <w:t xml:space="preserve"> </w:t>
      </w:r>
      <w:r w:rsidR="00832E29" w:rsidRPr="00335CF5">
        <w:rPr>
          <w:rFonts w:cs="Times New Roman"/>
        </w:rPr>
        <w:t xml:space="preserve">Agencija je izvršila praćenje osnovnih elementa ugovora i izmjene ugovora prema Upustvu o objavi osnovnih elemenata ugovora i izmjene ugovora („Službeni glasnik BiH“ broj: 56/15). </w:t>
      </w:r>
      <w:r w:rsidR="008557D4">
        <w:rPr>
          <w:rFonts w:cs="Times New Roman"/>
        </w:rPr>
        <w:t xml:space="preserve">Prvo što s uočava u praćenju ralizacije ugovora na web stranicama ugovornih organa je nepreglednost i neažurnost podataka, kao i teško pronalažnje ovih podataka na web stranicama ugovornih organa. </w:t>
      </w:r>
      <w:r w:rsidR="0048738D">
        <w:rPr>
          <w:rFonts w:cs="Times New Roman"/>
        </w:rPr>
        <w:t>Praćenjem podataka o realizaciji ugovora na web stranicama ugovornih organa</w:t>
      </w:r>
      <w:r w:rsidR="009C216D">
        <w:rPr>
          <w:rFonts w:cs="Times New Roman"/>
        </w:rPr>
        <w:t>, uočeno je slijedeće:</w:t>
      </w:r>
    </w:p>
    <w:p w:rsidR="0035332F" w:rsidRPr="00335CF5" w:rsidRDefault="0035332F" w:rsidP="00832E29">
      <w:pPr>
        <w:spacing w:after="0" w:line="240" w:lineRule="auto"/>
        <w:jc w:val="both"/>
        <w:rPr>
          <w:rFonts w:cs="Times New Roman"/>
          <w:lang w:eastAsia="bs-Latn-BA"/>
        </w:rPr>
      </w:pPr>
    </w:p>
    <w:p w:rsidR="003B12CF" w:rsidRPr="00335CF5" w:rsidRDefault="003B12CF" w:rsidP="003B12CF">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t xml:space="preserve">Velike razlike između planiranog i realiziranog, što </w:t>
      </w:r>
      <w:r w:rsidR="00FF40F9" w:rsidRPr="00335CF5">
        <w:rPr>
          <w:rFonts w:cs="Times New Roman"/>
          <w:color w:val="000000" w:themeColor="text1"/>
        </w:rPr>
        <w:t>je</w:t>
      </w:r>
      <w:r w:rsidRPr="00335CF5">
        <w:rPr>
          <w:rFonts w:cs="Times New Roman"/>
          <w:color w:val="000000" w:themeColor="text1"/>
        </w:rPr>
        <w:t xml:space="preserve"> pokazatelj nerealnog planiranja;</w:t>
      </w:r>
    </w:p>
    <w:p w:rsidR="00F505DE" w:rsidRDefault="009C216D" w:rsidP="009C216D">
      <w:pPr>
        <w:pStyle w:val="ListParagraph"/>
        <w:numPr>
          <w:ilvl w:val="0"/>
          <w:numId w:val="5"/>
        </w:numPr>
        <w:spacing w:after="0" w:line="240" w:lineRule="auto"/>
        <w:jc w:val="both"/>
        <w:rPr>
          <w:rFonts w:cs="Times New Roman"/>
          <w:color w:val="000000" w:themeColor="text1"/>
        </w:rPr>
      </w:pPr>
      <w:r>
        <w:rPr>
          <w:rFonts w:cs="Times New Roman"/>
          <w:color w:val="000000" w:themeColor="text1"/>
        </w:rPr>
        <w:t>Planiranje je još uvijek nije na nivou koji bi utjecao na bolju realizaciju ugovora;</w:t>
      </w:r>
    </w:p>
    <w:p w:rsidR="009C216D" w:rsidRDefault="008557D4" w:rsidP="009C216D">
      <w:pPr>
        <w:pStyle w:val="ListParagraph"/>
        <w:numPr>
          <w:ilvl w:val="0"/>
          <w:numId w:val="5"/>
        </w:numPr>
        <w:spacing w:after="0" w:line="240" w:lineRule="auto"/>
        <w:jc w:val="both"/>
        <w:rPr>
          <w:rFonts w:cs="Times New Roman"/>
          <w:color w:val="000000" w:themeColor="text1"/>
        </w:rPr>
      </w:pPr>
      <w:r>
        <w:rPr>
          <w:rFonts w:cs="Times New Roman"/>
          <w:color w:val="000000" w:themeColor="text1"/>
        </w:rPr>
        <w:t>Neažurno vođenje podataka o realizaciji ugovora</w:t>
      </w:r>
      <w:r w:rsidR="009C216D">
        <w:rPr>
          <w:rFonts w:cs="Times New Roman"/>
          <w:color w:val="000000" w:themeColor="text1"/>
        </w:rPr>
        <w:t>;</w:t>
      </w:r>
    </w:p>
    <w:p w:rsidR="00F505DE" w:rsidRDefault="009C216D" w:rsidP="009C216D">
      <w:pPr>
        <w:pStyle w:val="ListParagraph"/>
        <w:numPr>
          <w:ilvl w:val="0"/>
          <w:numId w:val="5"/>
        </w:numPr>
        <w:spacing w:after="0" w:line="240" w:lineRule="auto"/>
        <w:jc w:val="both"/>
        <w:rPr>
          <w:rFonts w:cs="Times New Roman"/>
          <w:color w:val="000000" w:themeColor="text1"/>
        </w:rPr>
      </w:pPr>
      <w:r>
        <w:rPr>
          <w:rFonts w:cs="Times New Roman"/>
          <w:color w:val="000000" w:themeColor="text1"/>
        </w:rPr>
        <w:t>Nagli porast broja dodjeljenih ugovora u posljednjem kvartalu godine.</w:t>
      </w:r>
    </w:p>
    <w:p w:rsidR="009C216D" w:rsidRDefault="009C216D" w:rsidP="009C216D">
      <w:pPr>
        <w:spacing w:after="0" w:line="240" w:lineRule="auto"/>
        <w:jc w:val="both"/>
        <w:rPr>
          <w:rFonts w:cs="Times New Roman"/>
          <w:color w:val="000000" w:themeColor="text1"/>
        </w:rPr>
      </w:pPr>
    </w:p>
    <w:p w:rsidR="007316F5" w:rsidRDefault="002C4251" w:rsidP="009C216D">
      <w:pPr>
        <w:spacing w:after="0" w:line="240" w:lineRule="auto"/>
        <w:jc w:val="both"/>
        <w:rPr>
          <w:rFonts w:cs="Times New Roman"/>
          <w:color w:val="000000" w:themeColor="text1"/>
        </w:rPr>
      </w:pPr>
      <w:r>
        <w:rPr>
          <w:rFonts w:cs="Times New Roman"/>
          <w:color w:val="000000" w:themeColor="text1"/>
        </w:rPr>
        <w:t>Posmatrajući naprijed navedeno, uočava se problem objave planova nabavki i realizacije ugovora na web stranicama ugovornih organa. Iako je Agencija u 2019. godini nadogradila Portal javnih nabavki i omogućila ugovornim organima da pored objava na svojim web stranicama (obaveza iz člana 17. stav (1) Zakona), objavljuju planove nabavki i na Portalu javnih nabavki, mali broj ugovornih organa je koristio tu mogućnost. Objava planova nabavki na Portalu nije obavezn</w:t>
      </w:r>
      <w:r w:rsidR="00A76810">
        <w:rPr>
          <w:rFonts w:cs="Times New Roman"/>
          <w:color w:val="000000" w:themeColor="text1"/>
        </w:rPr>
        <w:t>a</w:t>
      </w:r>
      <w:r>
        <w:rPr>
          <w:rFonts w:cs="Times New Roman"/>
          <w:color w:val="000000" w:themeColor="text1"/>
        </w:rPr>
        <w:t xml:space="preserve"> za ugovorne organe, ali je Nacrtom zakona o izmjenama i dopunama Zakona o javnim nabavkama pr</w:t>
      </w:r>
      <w:r w:rsidR="00131204">
        <w:rPr>
          <w:rFonts w:cs="Times New Roman"/>
          <w:color w:val="000000" w:themeColor="text1"/>
        </w:rPr>
        <w:t>edviđeno obavezna objava planova nab</w:t>
      </w:r>
      <w:r w:rsidR="00A76810">
        <w:rPr>
          <w:rFonts w:cs="Times New Roman"/>
          <w:color w:val="000000" w:themeColor="text1"/>
        </w:rPr>
        <w:t>a</w:t>
      </w:r>
      <w:r w:rsidR="00131204">
        <w:rPr>
          <w:rFonts w:cs="Times New Roman"/>
          <w:color w:val="000000" w:themeColor="text1"/>
        </w:rPr>
        <w:t xml:space="preserve">vki </w:t>
      </w:r>
      <w:r w:rsidR="00A76810">
        <w:rPr>
          <w:rFonts w:cs="Times New Roman"/>
          <w:color w:val="000000" w:themeColor="text1"/>
        </w:rPr>
        <w:t>i</w:t>
      </w:r>
      <w:r w:rsidR="00A76810" w:rsidRPr="00A76810">
        <w:rPr>
          <w:rFonts w:cs="Times New Roman"/>
          <w:color w:val="000000" w:themeColor="text1"/>
        </w:rPr>
        <w:t xml:space="preserve"> </w:t>
      </w:r>
      <w:r w:rsidR="00A76810">
        <w:rPr>
          <w:rFonts w:cs="Times New Roman"/>
          <w:color w:val="000000" w:themeColor="text1"/>
        </w:rPr>
        <w:t xml:space="preserve">realizacija zaključenih ugovora </w:t>
      </w:r>
      <w:r w:rsidR="00131204">
        <w:rPr>
          <w:rFonts w:cs="Times New Roman"/>
          <w:color w:val="000000" w:themeColor="text1"/>
        </w:rPr>
        <w:t>za sv</w:t>
      </w:r>
      <w:r w:rsidR="00A76810">
        <w:rPr>
          <w:rFonts w:cs="Times New Roman"/>
          <w:color w:val="000000" w:themeColor="text1"/>
        </w:rPr>
        <w:t>e</w:t>
      </w:r>
      <w:r w:rsidR="00131204">
        <w:rPr>
          <w:rFonts w:cs="Times New Roman"/>
          <w:color w:val="000000" w:themeColor="text1"/>
        </w:rPr>
        <w:t xml:space="preserve"> ugovorne organe</w:t>
      </w:r>
      <w:r w:rsidR="00A76810">
        <w:rPr>
          <w:rFonts w:cs="Times New Roman"/>
          <w:color w:val="000000" w:themeColor="text1"/>
        </w:rPr>
        <w:t xml:space="preserve">. </w:t>
      </w:r>
    </w:p>
    <w:p w:rsidR="00A76810" w:rsidRDefault="00A76810" w:rsidP="009C216D">
      <w:pPr>
        <w:spacing w:after="0" w:line="240" w:lineRule="auto"/>
        <w:jc w:val="both"/>
        <w:rPr>
          <w:rFonts w:cs="Times New Roman"/>
          <w:color w:val="000000" w:themeColor="text1"/>
        </w:rPr>
      </w:pPr>
    </w:p>
    <w:p w:rsidR="00470622" w:rsidRPr="00335CF5" w:rsidRDefault="00470622" w:rsidP="00CC506F">
      <w:pPr>
        <w:pStyle w:val="ListParagraph"/>
        <w:numPr>
          <w:ilvl w:val="0"/>
          <w:numId w:val="2"/>
        </w:numPr>
        <w:spacing w:after="0" w:line="240" w:lineRule="auto"/>
        <w:jc w:val="both"/>
        <w:rPr>
          <w:b/>
        </w:rPr>
      </w:pPr>
      <w:r w:rsidRPr="00335CF5">
        <w:rPr>
          <w:b/>
        </w:rPr>
        <w:t>Praćenje izvještaja ureda za revizije u BiH</w:t>
      </w:r>
    </w:p>
    <w:p w:rsidR="00470622" w:rsidRPr="00335CF5" w:rsidRDefault="00470622" w:rsidP="00470622">
      <w:pPr>
        <w:spacing w:after="0" w:line="240" w:lineRule="auto"/>
        <w:jc w:val="both"/>
        <w:rPr>
          <w:b/>
        </w:rPr>
      </w:pPr>
    </w:p>
    <w:p w:rsidR="00470622" w:rsidRPr="00335CF5" w:rsidRDefault="00C3430C" w:rsidP="00470622">
      <w:pPr>
        <w:spacing w:after="0" w:line="240" w:lineRule="auto"/>
        <w:jc w:val="both"/>
      </w:pPr>
      <w:r w:rsidRPr="00335CF5">
        <w:t>Uvidom u izvještaje ureda za revizje</w:t>
      </w:r>
      <w:r w:rsidR="00422B25">
        <w:t xml:space="preserve"> na svim nivoima vlasti u BiH (</w:t>
      </w:r>
      <w:r w:rsidRPr="00335CF5">
        <w:t>Ured za reviziju institucija BiH, Ured za reviziju institucija u FBiH, Glavna služba za reviziju javnog sektora RS i Ured za reviziju institucija i javne uprave u Brčko Distriktu) za 201</w:t>
      </w:r>
      <w:r w:rsidR="006E29C8">
        <w:t>8</w:t>
      </w:r>
      <w:r w:rsidRPr="00335CF5">
        <w:t>. godinu</w:t>
      </w:r>
      <w:r w:rsidR="00622D91">
        <w:rPr>
          <w:rStyle w:val="FootnoteReference"/>
        </w:rPr>
        <w:footnoteReference w:id="5"/>
      </w:r>
      <w:r w:rsidRPr="00335CF5">
        <w:t>, u dijelu revizije javnih nabavki identifikovano je slijedeće:</w:t>
      </w:r>
    </w:p>
    <w:p w:rsidR="00C3430C" w:rsidRPr="00335CF5" w:rsidRDefault="00C3430C" w:rsidP="00C3430C">
      <w:pPr>
        <w:pStyle w:val="ListParagraph"/>
        <w:numPr>
          <w:ilvl w:val="0"/>
          <w:numId w:val="5"/>
        </w:numPr>
        <w:spacing w:after="0" w:line="240" w:lineRule="auto"/>
        <w:jc w:val="both"/>
      </w:pPr>
      <w:r w:rsidRPr="00335CF5">
        <w:lastRenderedPageBreak/>
        <w:t>Izrada plana nabavki i blagovremenost planiranja; slabosti prilikom određivanja samog predmeta nabavke, izostanak ispitivanja tržišta u fazi planiranja javnih nabavki, neprecizno defi</w:t>
      </w:r>
      <w:r w:rsidR="00422B25">
        <w:t>nisanje pokretanja postupka jav</w:t>
      </w:r>
      <w:r w:rsidRPr="00335CF5">
        <w:t>n</w:t>
      </w:r>
      <w:r w:rsidR="00422B25">
        <w:t>e</w:t>
      </w:r>
      <w:r w:rsidRPr="00335CF5">
        <w:t xml:space="preserve"> nabavke, izbor postupka javne nabavke</w:t>
      </w:r>
      <w:r w:rsidR="00DE50B7" w:rsidRPr="00335CF5">
        <w:t>;</w:t>
      </w:r>
      <w:r w:rsidRPr="00335CF5">
        <w:t xml:space="preserve"> </w:t>
      </w:r>
    </w:p>
    <w:p w:rsidR="00C3430C" w:rsidRDefault="00C3430C" w:rsidP="00C3430C">
      <w:pPr>
        <w:pStyle w:val="ListParagraph"/>
        <w:numPr>
          <w:ilvl w:val="0"/>
          <w:numId w:val="5"/>
        </w:numPr>
        <w:spacing w:after="0" w:line="240" w:lineRule="auto"/>
        <w:jc w:val="both"/>
      </w:pPr>
      <w:r w:rsidRPr="00335CF5">
        <w:t xml:space="preserve">Realizacija ugovora (izostanak praćenja realizacije ugovora, kašnjenja u realizaciji zaključenih ugovora, neobjavljivanje i izostanak ažuriranja realizacije ugovora na </w:t>
      </w:r>
      <w:r w:rsidR="00DE50B7" w:rsidRPr="00335CF5">
        <w:t>web stranicama ugovornih organa, izostanak preduzimanja mjera u slučaju kašnjenja u realizaciji ugovora, izostanak praćenja realizacije okvirnih sporazuma, te blagovremenog pokretanja postupaka nab</w:t>
      </w:r>
      <w:r w:rsidR="00422B25">
        <w:t>a</w:t>
      </w:r>
      <w:r w:rsidR="00DE50B7" w:rsidRPr="00335CF5">
        <w:t>vke za nove okvirne sporazume, isporuke se ne prate u pogledu kvantiteta i kvaliteta</w:t>
      </w:r>
      <w:r w:rsidR="003605C3" w:rsidRPr="00335CF5">
        <w:t>, te isporuke nisu u skladu sa zahtjevima iz ugovora</w:t>
      </w:r>
      <w:r w:rsidR="00DE50B7" w:rsidRPr="00335CF5">
        <w:t>;</w:t>
      </w:r>
    </w:p>
    <w:p w:rsidR="00DE50B7" w:rsidRDefault="001C1A1D" w:rsidP="00C3430C">
      <w:pPr>
        <w:pStyle w:val="ListParagraph"/>
        <w:numPr>
          <w:ilvl w:val="0"/>
          <w:numId w:val="5"/>
        </w:numPr>
        <w:spacing w:after="0" w:line="240" w:lineRule="auto"/>
        <w:jc w:val="both"/>
      </w:pPr>
      <w:r>
        <w:t xml:space="preserve">Nedostaci se najvećim dijelom odnose na opis predmeta nabavke u tenderskoj dokumentaciji. Ovaj nedostatak je bio prisutan i ranijih godina, tako da na ovom planu nisu uočeni značajniji pomaci. </w:t>
      </w:r>
      <w:r w:rsidR="00DE50B7" w:rsidRPr="00335CF5">
        <w:t>Slabosti u pripremi tenderske dokumentacije, posebno u dijelu tehničke specifikacije (nabavka vozila i opreme), ograničavanje konkurencije kroz definisanje tehničke i profesionalne sposobnosti;</w:t>
      </w:r>
    </w:p>
    <w:p w:rsidR="001C1A1D" w:rsidRPr="00335CF5" w:rsidRDefault="001C1A1D" w:rsidP="00C3430C">
      <w:pPr>
        <w:pStyle w:val="ListParagraph"/>
        <w:numPr>
          <w:ilvl w:val="0"/>
          <w:numId w:val="5"/>
        </w:numPr>
        <w:spacing w:after="0" w:line="240" w:lineRule="auto"/>
        <w:jc w:val="both"/>
      </w:pPr>
      <w:r>
        <w:t>Zastupljenost stalno istih dobavljača je uočena kod nabavke vozila, informatičke opreme, usluga tiskanja i pakovanja glasačkih listića, tiskanja trošarinskih markica;</w:t>
      </w:r>
    </w:p>
    <w:p w:rsidR="00DE50B7" w:rsidRPr="00335CF5" w:rsidRDefault="00DE50B7" w:rsidP="00C3430C">
      <w:pPr>
        <w:pStyle w:val="ListParagraph"/>
        <w:numPr>
          <w:ilvl w:val="0"/>
          <w:numId w:val="5"/>
        </w:numPr>
        <w:spacing w:after="0" w:line="240" w:lineRule="auto"/>
        <w:jc w:val="both"/>
      </w:pPr>
      <w:r w:rsidRPr="00335CF5">
        <w:t>Cijepanje predmeta nabavke u cilju izbjegavanja provođenja transparentnih postupaka javne nabavke, zaključivanje više direktnih sporazuma (do 6.000 KM) za istovrsni predmet nabavke,;</w:t>
      </w:r>
    </w:p>
    <w:p w:rsidR="00DE50B7" w:rsidRPr="00335CF5" w:rsidRDefault="00DE50B7" w:rsidP="00C3430C">
      <w:pPr>
        <w:pStyle w:val="ListParagraph"/>
        <w:numPr>
          <w:ilvl w:val="0"/>
          <w:numId w:val="5"/>
        </w:numPr>
        <w:spacing w:after="0" w:line="240" w:lineRule="auto"/>
        <w:jc w:val="both"/>
      </w:pPr>
      <w:r w:rsidRPr="00335CF5">
        <w:t xml:space="preserve">Provođenje pregovračkih postupaka bez objave obavještenja kada nisu ispunjeni uslovi za primjenu (hitnost koja nije definisana odrdbama Zakona o javnim nabavkama), </w:t>
      </w:r>
      <w:r w:rsidR="00A4092E" w:rsidRPr="00335CF5">
        <w:t xml:space="preserve">nemogućnost dokumentovanja da je tenderska dokumentacija objavljena na web stranci ugovornog organa, </w:t>
      </w:r>
      <w:r w:rsidRPr="00335CF5">
        <w:t>u slučaju kašnjenja u pokretanju postupka javne nabavke iz razloga što je istekao ran</w:t>
      </w:r>
      <w:r w:rsidR="00A4092E" w:rsidRPr="00335CF5">
        <w:t>i</w:t>
      </w:r>
      <w:r w:rsidRPr="00335CF5">
        <w:t>ji ugovor ili okvirni sporazum, zbog neblagovremenosti pokretanja postupka javne nabavke i žalbenog postupka koji je u toku;</w:t>
      </w:r>
    </w:p>
    <w:p w:rsidR="00DE50B7" w:rsidRPr="00335CF5" w:rsidRDefault="003605C3" w:rsidP="00C3430C">
      <w:pPr>
        <w:pStyle w:val="ListParagraph"/>
        <w:numPr>
          <w:ilvl w:val="0"/>
          <w:numId w:val="5"/>
        </w:numPr>
        <w:spacing w:after="0" w:line="240" w:lineRule="auto"/>
        <w:jc w:val="both"/>
      </w:pPr>
      <w:r w:rsidRPr="00335CF5">
        <w:t>Ostali nedostaci koji su rezultat lošeg planiranja, neblagovremenosti pokretanja postupaka javnih nabavki, slabosti tenderske dokumentacije, kao i nedostaci zaprimljenih ponuda.</w:t>
      </w:r>
    </w:p>
    <w:p w:rsidR="003605C3" w:rsidRPr="00335CF5" w:rsidRDefault="003605C3" w:rsidP="003605C3">
      <w:pPr>
        <w:spacing w:after="0" w:line="240" w:lineRule="auto"/>
        <w:jc w:val="both"/>
      </w:pPr>
    </w:p>
    <w:p w:rsidR="003605C3" w:rsidRPr="00335CF5" w:rsidRDefault="003605C3" w:rsidP="003605C3">
      <w:pPr>
        <w:spacing w:after="0" w:line="240" w:lineRule="auto"/>
        <w:jc w:val="both"/>
      </w:pPr>
      <w:r w:rsidRPr="00335CF5">
        <w:t xml:space="preserve">Iz navedenih zapažanja ureda za revizije u BiH uočava se da su identifikovane iste slabosti i propusti </w:t>
      </w:r>
      <w:r w:rsidR="006E29C8">
        <w:t xml:space="preserve">kao i prethodnih godina, kao i da izvještaji revizija imaju iste </w:t>
      </w:r>
      <w:r w:rsidR="009C216D">
        <w:t xml:space="preserve">pokazatelje </w:t>
      </w:r>
      <w:r w:rsidR="006E29C8">
        <w:t xml:space="preserve">kao </w:t>
      </w:r>
      <w:r w:rsidRPr="00335CF5">
        <w:t xml:space="preserve">praćenja postupaka javnih nabavki od strane Agencije za javne nabavke.  </w:t>
      </w:r>
    </w:p>
    <w:p w:rsidR="003605C3" w:rsidRPr="00335CF5" w:rsidRDefault="003605C3" w:rsidP="003605C3">
      <w:pPr>
        <w:spacing w:after="0" w:line="240" w:lineRule="auto"/>
        <w:jc w:val="both"/>
      </w:pPr>
    </w:p>
    <w:p w:rsidR="000C4C4F" w:rsidRPr="00335CF5" w:rsidRDefault="00161173" w:rsidP="00CC506F">
      <w:pPr>
        <w:pStyle w:val="ListParagraph"/>
        <w:numPr>
          <w:ilvl w:val="0"/>
          <w:numId w:val="2"/>
        </w:numPr>
        <w:spacing w:after="0" w:line="240" w:lineRule="auto"/>
        <w:jc w:val="both"/>
        <w:rPr>
          <w:b/>
        </w:rPr>
      </w:pPr>
      <w:r w:rsidRPr="00335CF5">
        <w:rPr>
          <w:b/>
        </w:rPr>
        <w:t xml:space="preserve">ZAKLJUČAK </w:t>
      </w:r>
    </w:p>
    <w:p w:rsidR="00DF5F60" w:rsidRPr="00335CF5" w:rsidRDefault="00DF5F60" w:rsidP="00DF5F60">
      <w:pPr>
        <w:spacing w:after="0" w:line="240" w:lineRule="auto"/>
        <w:jc w:val="both"/>
      </w:pPr>
    </w:p>
    <w:p w:rsidR="00B50B28" w:rsidRPr="00335CF5" w:rsidRDefault="00B50B28" w:rsidP="00DF5F60">
      <w:pPr>
        <w:spacing w:after="0" w:line="240" w:lineRule="auto"/>
        <w:jc w:val="both"/>
      </w:pPr>
      <w:r w:rsidRPr="00335CF5">
        <w:t>Sistem javnih nabavki u periodu koji je obuhvaćen ovim izvještajem pokazuje određene trendove, posebno sa aspekta pogrešnih postupanja.</w:t>
      </w:r>
    </w:p>
    <w:p w:rsidR="00B50B28" w:rsidRDefault="00B50B28" w:rsidP="00DF5F60">
      <w:pPr>
        <w:spacing w:after="0" w:line="240" w:lineRule="auto"/>
        <w:jc w:val="both"/>
      </w:pPr>
    </w:p>
    <w:p w:rsidR="00CC506F" w:rsidRDefault="00CC506F" w:rsidP="00DF5F60">
      <w:pPr>
        <w:spacing w:after="0" w:line="240" w:lineRule="auto"/>
        <w:jc w:val="both"/>
      </w:pPr>
      <w:r>
        <w:t>Pokazatelji za pregovaračke postupke bez objave obavještenja ukazuju na slijedeće probleme:</w:t>
      </w:r>
    </w:p>
    <w:p w:rsidR="00CC506F" w:rsidRDefault="00CC506F" w:rsidP="00CC506F">
      <w:pPr>
        <w:pStyle w:val="ListParagraph"/>
        <w:numPr>
          <w:ilvl w:val="0"/>
          <w:numId w:val="5"/>
        </w:numPr>
        <w:spacing w:after="0" w:line="240" w:lineRule="auto"/>
        <w:jc w:val="both"/>
      </w:pPr>
      <w:r>
        <w:t>Nepravovremena raspoloživost finansijskih sredstava (kašnjenje u usvajanju budžeta ili finansij</w:t>
      </w:r>
      <w:r w:rsidR="008E6F5B">
        <w:t>s</w:t>
      </w:r>
      <w:r w:rsidR="0035332F">
        <w:t>kih planova i n</w:t>
      </w:r>
      <w:r>
        <w:t>epravovremeno pokretanje postupaka javnih nabavki;</w:t>
      </w:r>
    </w:p>
    <w:p w:rsidR="008E6F5B" w:rsidRDefault="0035332F" w:rsidP="00CC506F">
      <w:pPr>
        <w:pStyle w:val="ListParagraph"/>
        <w:numPr>
          <w:ilvl w:val="0"/>
          <w:numId w:val="5"/>
        </w:numPr>
        <w:spacing w:after="0" w:line="240" w:lineRule="auto"/>
        <w:jc w:val="both"/>
      </w:pPr>
      <w:r>
        <w:t>Primjena ove vrste postupka u slučajevima kada je žalbeni postupak u toku;</w:t>
      </w:r>
    </w:p>
    <w:p w:rsidR="0035332F" w:rsidRDefault="0035332F" w:rsidP="00CC506F">
      <w:pPr>
        <w:pStyle w:val="ListParagraph"/>
        <w:numPr>
          <w:ilvl w:val="0"/>
          <w:numId w:val="5"/>
        </w:numPr>
        <w:spacing w:after="0" w:line="240" w:lineRule="auto"/>
        <w:jc w:val="both"/>
      </w:pPr>
      <w:r>
        <w:t>Nisu ispunjeni kum</w:t>
      </w:r>
      <w:r w:rsidR="001626C0">
        <w:t>u</w:t>
      </w:r>
      <w:r>
        <w:t>lativno postavljeni uslovi za primjenu ove vrste postupka javne nabavke;</w:t>
      </w:r>
    </w:p>
    <w:p w:rsidR="0035332F" w:rsidRDefault="0035332F" w:rsidP="0035332F">
      <w:pPr>
        <w:spacing w:after="0" w:line="240" w:lineRule="auto"/>
        <w:jc w:val="both"/>
      </w:pPr>
    </w:p>
    <w:p w:rsidR="0035332F" w:rsidRDefault="0035332F" w:rsidP="0035332F">
      <w:pPr>
        <w:spacing w:after="0" w:line="240" w:lineRule="auto"/>
        <w:jc w:val="both"/>
      </w:pPr>
      <w:r>
        <w:t>Stoga će programsko praćenje pregovaračkih postupaka bez objave obavještenja, u saradnji sa nevladim sektorom, prikazati realno stanje pregovaračkog postupka bez objave obavještenja u sistemu javnih nabavki.</w:t>
      </w:r>
    </w:p>
    <w:p w:rsidR="0035332F" w:rsidRDefault="0035332F" w:rsidP="0035332F">
      <w:pPr>
        <w:spacing w:after="0" w:line="240" w:lineRule="auto"/>
        <w:jc w:val="both"/>
      </w:pPr>
    </w:p>
    <w:p w:rsidR="0035332F" w:rsidRDefault="00B50B28" w:rsidP="00DF5F60">
      <w:pPr>
        <w:spacing w:after="0" w:line="240" w:lineRule="auto"/>
        <w:jc w:val="both"/>
      </w:pPr>
      <w:r w:rsidRPr="00335CF5">
        <w:t>Planiranje je problem koji je prisutan već godinama. Naime</w:t>
      </w:r>
      <w:r w:rsidR="00CA4116" w:rsidRPr="00335CF5">
        <w:t>,</w:t>
      </w:r>
      <w:r w:rsidRPr="00335CF5">
        <w:t xml:space="preserve"> kasno donošenje budžeta i/ili finansijskih planova uvjetuje i kašnjenje u provođenju postupka javne nabavke, a kašnjenje može uzrokovati probleme</w:t>
      </w:r>
      <w:r w:rsidR="00072D36" w:rsidRPr="00335CF5">
        <w:t xml:space="preserve"> </w:t>
      </w:r>
      <w:r w:rsidRPr="00335CF5">
        <w:t xml:space="preserve">u obavljanju djelatnosti ugovornih organa i za rezultat imamo slijedeća postupanja: provođenje pregovaračkih postupaka bez objave </w:t>
      </w:r>
      <w:r w:rsidR="004852C8" w:rsidRPr="00335CF5">
        <w:t>obavještenja, cijepanje nabavki</w:t>
      </w:r>
      <w:r w:rsidR="00090ABB">
        <w:t xml:space="preserve"> i sl</w:t>
      </w:r>
      <w:r w:rsidR="004852C8" w:rsidRPr="00335CF5">
        <w:t xml:space="preserve">. </w:t>
      </w:r>
    </w:p>
    <w:p w:rsidR="00581BFB" w:rsidRDefault="003B60ED" w:rsidP="00DF5F60">
      <w:pPr>
        <w:spacing w:after="0" w:line="240" w:lineRule="auto"/>
        <w:jc w:val="both"/>
      </w:pPr>
      <w:r w:rsidRPr="00335CF5">
        <w:lastRenderedPageBreak/>
        <w:t xml:space="preserve">Pokazatelji praćenja postupaka javnih nabavki ukazuju na relativno mali broj praćenja postupaka javnih nabavki iz razloga nedovoljne kadrovske popunjenosti Agencije za javne nabavke. </w:t>
      </w:r>
      <w:r w:rsidR="004641A7">
        <w:t xml:space="preserve">Naime, kroz ovaj izvještaj prikazani su pokazatelji praćenja koja su obrađena od strane Agencije. Da bi Agencija pristupila obradi predmeta praćenja, potrebno je vršiti pretraživanja na Portalu javnih nabavki, i to svih vrsta obavještenja. Ako se ima u vidu činjenica da je u 2019. godini objavljeno 47145 obavještanja, te da je obuhvat od 347 obrađenih predmeta praćenja iz različitih izvora praćenja mali, neophodan je i veći broj uposlenih. Jer, obrađeni predmeti praćenja su potencijalni predmeti za prekršajni postupak. </w:t>
      </w:r>
      <w:r w:rsidRPr="00335CF5">
        <w:t xml:space="preserve">Praćenje sistema javnih nabavki, u skladu i sa Direktivama EU 24/2014 i 25/2014 ukazuju na potrebu kontinuiranog praćenja sistema, a u cilju uočavanja devijacija u istom i otklanjanja uočenih devijacija. </w:t>
      </w:r>
    </w:p>
    <w:p w:rsidR="004641A7" w:rsidRPr="00335CF5" w:rsidRDefault="004641A7" w:rsidP="00DF5F60">
      <w:pPr>
        <w:spacing w:after="0" w:line="240" w:lineRule="auto"/>
        <w:jc w:val="both"/>
      </w:pPr>
    </w:p>
    <w:p w:rsidR="006D729F" w:rsidRPr="00335CF5" w:rsidRDefault="005B356E" w:rsidP="004E2542">
      <w:pPr>
        <w:spacing w:after="0" w:line="240" w:lineRule="auto"/>
        <w:jc w:val="both"/>
      </w:pPr>
      <w:r>
        <w:t xml:space="preserve">Polazeći od naprijed navedenog, predlaže se </w:t>
      </w:r>
      <w:r w:rsidR="00581BFB" w:rsidRPr="00335CF5">
        <w:t>V</w:t>
      </w:r>
      <w:r>
        <w:t>i</w:t>
      </w:r>
      <w:r w:rsidR="00581BFB" w:rsidRPr="00335CF5">
        <w:t>jeć</w:t>
      </w:r>
      <w:r>
        <w:t>u</w:t>
      </w:r>
      <w:r w:rsidR="00581BFB" w:rsidRPr="00335CF5">
        <w:t xml:space="preserve"> ministara B</w:t>
      </w:r>
      <w:r>
        <w:t xml:space="preserve">osne i </w:t>
      </w:r>
      <w:r w:rsidR="00581BFB" w:rsidRPr="00335CF5">
        <w:t>H</w:t>
      </w:r>
      <w:r>
        <w:t>ercegovine, da nakon razmatranja Izvještaja o praćenju postupaka javnih nabavki za 201</w:t>
      </w:r>
      <w:r w:rsidR="00590430">
        <w:t>9</w:t>
      </w:r>
      <w:r>
        <w:t>. godinu,</w:t>
      </w:r>
      <w:r w:rsidR="00581BFB" w:rsidRPr="00335CF5">
        <w:t xml:space="preserve"> </w:t>
      </w:r>
      <w:r w:rsidR="004E2542">
        <w:t xml:space="preserve">usvoji Izvještaj o praćenju </w:t>
      </w:r>
      <w:r>
        <w:t>postupaka javnih nabavki za 201</w:t>
      </w:r>
      <w:r w:rsidR="00090ABB">
        <w:t>9</w:t>
      </w:r>
      <w:r w:rsidR="004E2542">
        <w:t>. godinu i z</w:t>
      </w:r>
      <w:r w:rsidR="00581BFB" w:rsidRPr="00335CF5">
        <w:t>aduž</w:t>
      </w:r>
      <w:r w:rsidR="00DA4025">
        <w:t>i</w:t>
      </w:r>
      <w:r w:rsidR="00581BFB" w:rsidRPr="00335CF5">
        <w:t xml:space="preserve"> Agencij</w:t>
      </w:r>
      <w:r w:rsidR="00DA4025">
        <w:t>u</w:t>
      </w:r>
      <w:r w:rsidR="00581BFB" w:rsidRPr="00335CF5">
        <w:t xml:space="preserve"> za javne nabavke</w:t>
      </w:r>
      <w:r w:rsidR="00090ABB">
        <w:t xml:space="preserve"> da u</w:t>
      </w:r>
      <w:r w:rsidR="004641A7">
        <w:t xml:space="preserve"> 2020. godini  provodi programsko praćenje pregovaračkih postupaka bez objave obavještenja</w:t>
      </w:r>
      <w:r w:rsidR="004E2542">
        <w:t xml:space="preserve">. </w:t>
      </w:r>
      <w:r w:rsidR="006D729F" w:rsidRPr="00335CF5">
        <w:t>Age</w:t>
      </w:r>
      <w:r w:rsidR="00E05BDF" w:rsidRPr="00335CF5">
        <w:t xml:space="preserve">ncija za javne nabavke </w:t>
      </w:r>
      <w:r w:rsidR="004E2542">
        <w:t>će I</w:t>
      </w:r>
      <w:r w:rsidR="00E05BDF" w:rsidRPr="00335CF5">
        <w:t>zvje</w:t>
      </w:r>
      <w:r w:rsidR="006D729F" w:rsidRPr="00335CF5">
        <w:t>štaj sa Aneks</w:t>
      </w:r>
      <w:r w:rsidR="004641A7">
        <w:t>om</w:t>
      </w:r>
      <w:r w:rsidR="006D729F" w:rsidRPr="00335CF5">
        <w:t xml:space="preserve"> dostavi</w:t>
      </w:r>
      <w:r w:rsidR="004E2542">
        <w:t>ti</w:t>
      </w:r>
      <w:r w:rsidR="006D729F" w:rsidRPr="00335CF5">
        <w:t xml:space="preserve"> Vladi F</w:t>
      </w:r>
      <w:r>
        <w:t xml:space="preserve">ederacije </w:t>
      </w:r>
      <w:r w:rsidR="006D729F" w:rsidRPr="00335CF5">
        <w:t>B</w:t>
      </w:r>
      <w:r>
        <w:t xml:space="preserve">osne </w:t>
      </w:r>
      <w:r w:rsidR="006D729F" w:rsidRPr="00335CF5">
        <w:t>i</w:t>
      </w:r>
      <w:r>
        <w:t xml:space="preserve"> </w:t>
      </w:r>
      <w:r w:rsidR="006D729F" w:rsidRPr="00335CF5">
        <w:t>H</w:t>
      </w:r>
      <w:r>
        <w:t>ercegovine</w:t>
      </w:r>
      <w:r w:rsidR="006D729F" w:rsidRPr="00335CF5">
        <w:t>, Vladi R</w:t>
      </w:r>
      <w:r>
        <w:t xml:space="preserve">epublike </w:t>
      </w:r>
      <w:r w:rsidR="006D729F" w:rsidRPr="00335CF5">
        <w:t>S</w:t>
      </w:r>
      <w:r>
        <w:t>rpske</w:t>
      </w:r>
      <w:r w:rsidR="006D729F" w:rsidRPr="00335CF5">
        <w:t xml:space="preserve"> i Vladi B</w:t>
      </w:r>
      <w:r>
        <w:t xml:space="preserve">rčko </w:t>
      </w:r>
      <w:r w:rsidR="006D729F" w:rsidRPr="00335CF5">
        <w:t>D</w:t>
      </w:r>
      <w:r>
        <w:t>istrikta</w:t>
      </w:r>
      <w:r w:rsidR="006D729F" w:rsidRPr="00335CF5">
        <w:t>, i objavi</w:t>
      </w:r>
      <w:r w:rsidR="00DA4025">
        <w:t>ti</w:t>
      </w:r>
      <w:r w:rsidR="006D729F" w:rsidRPr="00335CF5">
        <w:t xml:space="preserve"> izvještaj </w:t>
      </w:r>
      <w:r w:rsidR="004641A7">
        <w:t>n</w:t>
      </w:r>
      <w:r w:rsidR="006D729F" w:rsidRPr="00335CF5">
        <w:t>a svojoj web stranici.</w:t>
      </w:r>
    </w:p>
    <w:p w:rsidR="00CA4116" w:rsidRPr="00335CF5" w:rsidRDefault="003B60ED" w:rsidP="00DF5F60">
      <w:pPr>
        <w:spacing w:after="0" w:line="240" w:lineRule="auto"/>
        <w:jc w:val="both"/>
      </w:pPr>
      <w:r w:rsidRPr="00335CF5">
        <w:t xml:space="preserve"> </w:t>
      </w:r>
    </w:p>
    <w:sectPr w:rsidR="00CA4116" w:rsidRPr="00335CF5" w:rsidSect="00DA68CF">
      <w:footerReference w:type="defaul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7E" w:rsidRDefault="00735D7E" w:rsidP="00A52B71">
      <w:pPr>
        <w:spacing w:after="0" w:line="240" w:lineRule="auto"/>
      </w:pPr>
      <w:r>
        <w:separator/>
      </w:r>
    </w:p>
  </w:endnote>
  <w:endnote w:type="continuationSeparator" w:id="0">
    <w:p w:rsidR="00735D7E" w:rsidRDefault="00735D7E" w:rsidP="00A5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268081"/>
      <w:docPartObj>
        <w:docPartGallery w:val="Page Numbers (Bottom of Page)"/>
        <w:docPartUnique/>
      </w:docPartObj>
    </w:sdtPr>
    <w:sdtEndPr>
      <w:rPr>
        <w:noProof/>
      </w:rPr>
    </w:sdtEndPr>
    <w:sdtContent>
      <w:p w:rsidR="00DA68CF" w:rsidRDefault="00DA68CF">
        <w:pPr>
          <w:pStyle w:val="Footer"/>
          <w:jc w:val="right"/>
        </w:pPr>
        <w:r>
          <w:fldChar w:fldCharType="begin"/>
        </w:r>
        <w:r>
          <w:instrText xml:space="preserve"> PAGE   \* MERGEFORMAT </w:instrText>
        </w:r>
        <w:r>
          <w:fldChar w:fldCharType="separate"/>
        </w:r>
        <w:r w:rsidR="00D24F23">
          <w:rPr>
            <w:noProof/>
          </w:rPr>
          <w:t>14</w:t>
        </w:r>
        <w:r>
          <w:rPr>
            <w:noProof/>
          </w:rPr>
          <w:fldChar w:fldCharType="end"/>
        </w:r>
      </w:p>
    </w:sdtContent>
  </w:sdt>
  <w:p w:rsidR="00A52B71" w:rsidRDefault="00A52B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7E" w:rsidRDefault="00735D7E" w:rsidP="00A52B71">
      <w:pPr>
        <w:spacing w:after="0" w:line="240" w:lineRule="auto"/>
      </w:pPr>
      <w:r>
        <w:separator/>
      </w:r>
    </w:p>
  </w:footnote>
  <w:footnote w:type="continuationSeparator" w:id="0">
    <w:p w:rsidR="00735D7E" w:rsidRDefault="00735D7E" w:rsidP="00A52B71">
      <w:pPr>
        <w:spacing w:after="0" w:line="240" w:lineRule="auto"/>
      </w:pPr>
      <w:r>
        <w:continuationSeparator/>
      </w:r>
    </w:p>
  </w:footnote>
  <w:footnote w:id="1">
    <w:p w:rsidR="0015370E" w:rsidRDefault="0015370E">
      <w:pPr>
        <w:pStyle w:val="FootnoteText"/>
      </w:pPr>
      <w:r>
        <w:rPr>
          <w:rStyle w:val="FootnoteReference"/>
        </w:rPr>
        <w:footnoteRef/>
      </w:r>
      <w:r>
        <w:t xml:space="preserve"> SIGMA-Informativni dokument br.27</w:t>
      </w:r>
    </w:p>
    <w:p w:rsidR="00B00D9E" w:rsidRDefault="00B00D9E">
      <w:pPr>
        <w:pStyle w:val="FootnoteText"/>
      </w:pPr>
    </w:p>
  </w:footnote>
  <w:footnote w:id="2">
    <w:p w:rsidR="00185F4B" w:rsidRDefault="00185F4B">
      <w:pPr>
        <w:pStyle w:val="FootnoteText"/>
      </w:pPr>
      <w:r>
        <w:rPr>
          <w:rStyle w:val="FootnoteReference"/>
        </w:rPr>
        <w:footnoteRef/>
      </w:r>
      <w:r>
        <w:t xml:space="preserve"> U broj zaključenih ugovora/okvirnih sporazuma nije uključen broj zaključenih ugovora unutar okvirnih sporazuma.</w:t>
      </w:r>
    </w:p>
  </w:footnote>
  <w:footnote w:id="3">
    <w:p w:rsidR="00090ABB" w:rsidRDefault="00090ABB">
      <w:pPr>
        <w:pStyle w:val="FootnoteText"/>
      </w:pPr>
      <w:r>
        <w:rPr>
          <w:rStyle w:val="FootnoteReference"/>
        </w:rPr>
        <w:footnoteRef/>
      </w:r>
      <w:r>
        <w:t xml:space="preserve"> Pregled podnesenih zahtjeva za pokretanje prekršajnih postupaka u 2019. godini</w:t>
      </w:r>
    </w:p>
  </w:footnote>
  <w:footnote w:id="4">
    <w:p w:rsidR="00DE2848" w:rsidRDefault="00C67C72">
      <w:pPr>
        <w:pStyle w:val="FootnoteText"/>
      </w:pPr>
      <w:r>
        <w:rPr>
          <w:rStyle w:val="FootnoteReference"/>
        </w:rPr>
        <w:footnoteRef/>
      </w:r>
      <w:r w:rsidRPr="00203806">
        <w:rPr>
          <w:lang w:val="en-GB"/>
        </w:rPr>
        <w:t xml:space="preserve"> OECD (2016), Monitoring Report: The Principles of Public Administration - Bosnia and Herzegovina</w:t>
      </w:r>
    </w:p>
  </w:footnote>
  <w:footnote w:id="5">
    <w:p w:rsidR="00622D91" w:rsidRDefault="00622D91">
      <w:pPr>
        <w:pStyle w:val="FootnoteText"/>
      </w:pPr>
      <w:r>
        <w:rPr>
          <w:rStyle w:val="FootnoteReference"/>
        </w:rPr>
        <w:footnoteRef/>
      </w:r>
      <w:r>
        <w:t xml:space="preserve"> Izvještaji revizija u Bosni i Hercegovini za 2019. godinu nisu objavljeni do pripreme ovog izvještaja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16707"/>
    <w:multiLevelType w:val="hybridMultilevel"/>
    <w:tmpl w:val="4E30E4A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0BE800E1"/>
    <w:multiLevelType w:val="hybridMultilevel"/>
    <w:tmpl w:val="5AC84144"/>
    <w:lvl w:ilvl="0" w:tplc="5F58496E">
      <w:start w:val="1"/>
      <w:numFmt w:val="decimal"/>
      <w:lvlText w:val="%1."/>
      <w:lvlJc w:val="left"/>
      <w:pPr>
        <w:ind w:left="405" w:hanging="360"/>
      </w:pPr>
      <w:rPr>
        <w:rFonts w:hint="default"/>
      </w:rPr>
    </w:lvl>
    <w:lvl w:ilvl="1" w:tplc="141A0019" w:tentative="1">
      <w:start w:val="1"/>
      <w:numFmt w:val="lowerLetter"/>
      <w:lvlText w:val="%2."/>
      <w:lvlJc w:val="left"/>
      <w:pPr>
        <w:ind w:left="1125" w:hanging="360"/>
      </w:pPr>
    </w:lvl>
    <w:lvl w:ilvl="2" w:tplc="141A001B" w:tentative="1">
      <w:start w:val="1"/>
      <w:numFmt w:val="lowerRoman"/>
      <w:lvlText w:val="%3."/>
      <w:lvlJc w:val="right"/>
      <w:pPr>
        <w:ind w:left="1845" w:hanging="180"/>
      </w:pPr>
    </w:lvl>
    <w:lvl w:ilvl="3" w:tplc="141A000F" w:tentative="1">
      <w:start w:val="1"/>
      <w:numFmt w:val="decimal"/>
      <w:lvlText w:val="%4."/>
      <w:lvlJc w:val="left"/>
      <w:pPr>
        <w:ind w:left="2565" w:hanging="360"/>
      </w:pPr>
    </w:lvl>
    <w:lvl w:ilvl="4" w:tplc="141A0019" w:tentative="1">
      <w:start w:val="1"/>
      <w:numFmt w:val="lowerLetter"/>
      <w:lvlText w:val="%5."/>
      <w:lvlJc w:val="left"/>
      <w:pPr>
        <w:ind w:left="3285" w:hanging="360"/>
      </w:pPr>
    </w:lvl>
    <w:lvl w:ilvl="5" w:tplc="141A001B" w:tentative="1">
      <w:start w:val="1"/>
      <w:numFmt w:val="lowerRoman"/>
      <w:lvlText w:val="%6."/>
      <w:lvlJc w:val="right"/>
      <w:pPr>
        <w:ind w:left="4005" w:hanging="180"/>
      </w:pPr>
    </w:lvl>
    <w:lvl w:ilvl="6" w:tplc="141A000F" w:tentative="1">
      <w:start w:val="1"/>
      <w:numFmt w:val="decimal"/>
      <w:lvlText w:val="%7."/>
      <w:lvlJc w:val="left"/>
      <w:pPr>
        <w:ind w:left="4725" w:hanging="360"/>
      </w:pPr>
    </w:lvl>
    <w:lvl w:ilvl="7" w:tplc="141A0019" w:tentative="1">
      <w:start w:val="1"/>
      <w:numFmt w:val="lowerLetter"/>
      <w:lvlText w:val="%8."/>
      <w:lvlJc w:val="left"/>
      <w:pPr>
        <w:ind w:left="5445" w:hanging="360"/>
      </w:pPr>
    </w:lvl>
    <w:lvl w:ilvl="8" w:tplc="141A001B" w:tentative="1">
      <w:start w:val="1"/>
      <w:numFmt w:val="lowerRoman"/>
      <w:lvlText w:val="%9."/>
      <w:lvlJc w:val="right"/>
      <w:pPr>
        <w:ind w:left="6165" w:hanging="180"/>
      </w:pPr>
    </w:lvl>
  </w:abstractNum>
  <w:abstractNum w:abstractNumId="2">
    <w:nsid w:val="1BF007AA"/>
    <w:multiLevelType w:val="hybridMultilevel"/>
    <w:tmpl w:val="E920017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DA506B8"/>
    <w:multiLevelType w:val="hybridMultilevel"/>
    <w:tmpl w:val="3D6CD2A2"/>
    <w:lvl w:ilvl="0" w:tplc="3E7C93F8">
      <w:numFmt w:val="bullet"/>
      <w:lvlText w:val="-"/>
      <w:lvlJc w:val="left"/>
      <w:pPr>
        <w:ind w:left="720" w:hanging="360"/>
      </w:pPr>
      <w:rPr>
        <w:rFonts w:ascii="Calibri" w:eastAsiaTheme="minorHAnsi"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33C54274"/>
    <w:multiLevelType w:val="hybridMultilevel"/>
    <w:tmpl w:val="D2B40134"/>
    <w:lvl w:ilvl="0" w:tplc="9C1669D0">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5">
    <w:nsid w:val="39AB2008"/>
    <w:multiLevelType w:val="hybridMultilevel"/>
    <w:tmpl w:val="9F7A807E"/>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3AB15484"/>
    <w:multiLevelType w:val="hybridMultilevel"/>
    <w:tmpl w:val="B2F2766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3ED66AE0"/>
    <w:multiLevelType w:val="hybridMultilevel"/>
    <w:tmpl w:val="D8360860"/>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44CC13AD"/>
    <w:multiLevelType w:val="hybridMultilevel"/>
    <w:tmpl w:val="1F26656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4E055FA4"/>
    <w:multiLevelType w:val="hybridMultilevel"/>
    <w:tmpl w:val="AA34076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517246BD"/>
    <w:multiLevelType w:val="hybridMultilevel"/>
    <w:tmpl w:val="4F16790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5822496A"/>
    <w:multiLevelType w:val="hybridMultilevel"/>
    <w:tmpl w:val="EEA6020E"/>
    <w:lvl w:ilvl="0" w:tplc="4FCE02C8">
      <w:start w:val="1"/>
      <w:numFmt w:val="decimal"/>
      <w:lvlText w:val="%1."/>
      <w:lvlJc w:val="left"/>
      <w:pPr>
        <w:ind w:left="420" w:hanging="360"/>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abstractNum w:abstractNumId="12">
    <w:nsid w:val="58BA1D08"/>
    <w:multiLevelType w:val="hybridMultilevel"/>
    <w:tmpl w:val="0F9AFF9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65566F96"/>
    <w:multiLevelType w:val="hybridMultilevel"/>
    <w:tmpl w:val="2828D9B4"/>
    <w:lvl w:ilvl="0" w:tplc="8DBCF922">
      <w:start w:val="1"/>
      <w:numFmt w:val="decimal"/>
      <w:lvlText w:val="%1."/>
      <w:lvlJc w:val="left"/>
      <w:pPr>
        <w:ind w:left="644" w:hanging="360"/>
      </w:pPr>
      <w:rPr>
        <w:rFonts w:hint="default"/>
        <w:b w:val="0"/>
        <w:color w:val="555555"/>
      </w:rPr>
    </w:lvl>
    <w:lvl w:ilvl="1" w:tplc="141A0019" w:tentative="1">
      <w:start w:val="1"/>
      <w:numFmt w:val="lowerLetter"/>
      <w:lvlText w:val="%2."/>
      <w:lvlJc w:val="left"/>
      <w:pPr>
        <w:ind w:left="1364" w:hanging="360"/>
      </w:pPr>
    </w:lvl>
    <w:lvl w:ilvl="2" w:tplc="141A001B" w:tentative="1">
      <w:start w:val="1"/>
      <w:numFmt w:val="lowerRoman"/>
      <w:lvlText w:val="%3."/>
      <w:lvlJc w:val="right"/>
      <w:pPr>
        <w:ind w:left="2084" w:hanging="180"/>
      </w:pPr>
    </w:lvl>
    <w:lvl w:ilvl="3" w:tplc="141A000F" w:tentative="1">
      <w:start w:val="1"/>
      <w:numFmt w:val="decimal"/>
      <w:lvlText w:val="%4."/>
      <w:lvlJc w:val="left"/>
      <w:pPr>
        <w:ind w:left="2804" w:hanging="360"/>
      </w:pPr>
    </w:lvl>
    <w:lvl w:ilvl="4" w:tplc="141A0019" w:tentative="1">
      <w:start w:val="1"/>
      <w:numFmt w:val="lowerLetter"/>
      <w:lvlText w:val="%5."/>
      <w:lvlJc w:val="left"/>
      <w:pPr>
        <w:ind w:left="3524" w:hanging="360"/>
      </w:pPr>
    </w:lvl>
    <w:lvl w:ilvl="5" w:tplc="141A001B" w:tentative="1">
      <w:start w:val="1"/>
      <w:numFmt w:val="lowerRoman"/>
      <w:lvlText w:val="%6."/>
      <w:lvlJc w:val="right"/>
      <w:pPr>
        <w:ind w:left="4244" w:hanging="180"/>
      </w:pPr>
    </w:lvl>
    <w:lvl w:ilvl="6" w:tplc="141A000F" w:tentative="1">
      <w:start w:val="1"/>
      <w:numFmt w:val="decimal"/>
      <w:lvlText w:val="%7."/>
      <w:lvlJc w:val="left"/>
      <w:pPr>
        <w:ind w:left="4964" w:hanging="360"/>
      </w:pPr>
    </w:lvl>
    <w:lvl w:ilvl="7" w:tplc="141A0019" w:tentative="1">
      <w:start w:val="1"/>
      <w:numFmt w:val="lowerLetter"/>
      <w:lvlText w:val="%8."/>
      <w:lvlJc w:val="left"/>
      <w:pPr>
        <w:ind w:left="5684" w:hanging="360"/>
      </w:pPr>
    </w:lvl>
    <w:lvl w:ilvl="8" w:tplc="141A001B" w:tentative="1">
      <w:start w:val="1"/>
      <w:numFmt w:val="lowerRoman"/>
      <w:lvlText w:val="%9."/>
      <w:lvlJc w:val="right"/>
      <w:pPr>
        <w:ind w:left="6404" w:hanging="180"/>
      </w:pPr>
    </w:lvl>
  </w:abstractNum>
  <w:abstractNum w:abstractNumId="14">
    <w:nsid w:val="712730D9"/>
    <w:multiLevelType w:val="hybridMultilevel"/>
    <w:tmpl w:val="F6F8153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nsid w:val="716328E3"/>
    <w:multiLevelType w:val="hybridMultilevel"/>
    <w:tmpl w:val="A014AAC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nsid w:val="738A468E"/>
    <w:multiLevelType w:val="hybridMultilevel"/>
    <w:tmpl w:val="462690A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7CA4713B"/>
    <w:multiLevelType w:val="hybridMultilevel"/>
    <w:tmpl w:val="B648830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8"/>
  </w:num>
  <w:num w:numId="2">
    <w:abstractNumId w:val="14"/>
  </w:num>
  <w:num w:numId="3">
    <w:abstractNumId w:val="12"/>
  </w:num>
  <w:num w:numId="4">
    <w:abstractNumId w:val="9"/>
  </w:num>
  <w:num w:numId="5">
    <w:abstractNumId w:val="3"/>
  </w:num>
  <w:num w:numId="6">
    <w:abstractNumId w:val="13"/>
  </w:num>
  <w:num w:numId="7">
    <w:abstractNumId w:val="0"/>
  </w:num>
  <w:num w:numId="8">
    <w:abstractNumId w:val="2"/>
  </w:num>
  <w:num w:numId="9">
    <w:abstractNumId w:val="5"/>
  </w:num>
  <w:num w:numId="10">
    <w:abstractNumId w:val="6"/>
  </w:num>
  <w:num w:numId="11">
    <w:abstractNumId w:val="4"/>
  </w:num>
  <w:num w:numId="12">
    <w:abstractNumId w:val="16"/>
  </w:num>
  <w:num w:numId="13">
    <w:abstractNumId w:val="11"/>
  </w:num>
  <w:num w:numId="14">
    <w:abstractNumId w:val="1"/>
  </w:num>
  <w:num w:numId="15">
    <w:abstractNumId w:val="15"/>
  </w:num>
  <w:num w:numId="16">
    <w:abstractNumId w:val="7"/>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CE0"/>
    <w:rsid w:val="0000600E"/>
    <w:rsid w:val="00036D78"/>
    <w:rsid w:val="000500B7"/>
    <w:rsid w:val="000511D4"/>
    <w:rsid w:val="00052C42"/>
    <w:rsid w:val="0005520C"/>
    <w:rsid w:val="00057B20"/>
    <w:rsid w:val="000601A7"/>
    <w:rsid w:val="00072D36"/>
    <w:rsid w:val="0007675D"/>
    <w:rsid w:val="00086AF4"/>
    <w:rsid w:val="00090ABB"/>
    <w:rsid w:val="000B56AA"/>
    <w:rsid w:val="000C3062"/>
    <w:rsid w:val="000C4C4F"/>
    <w:rsid w:val="000C5C7D"/>
    <w:rsid w:val="000E2900"/>
    <w:rsid w:val="000E2FE4"/>
    <w:rsid w:val="000F45C6"/>
    <w:rsid w:val="0010036E"/>
    <w:rsid w:val="00116B41"/>
    <w:rsid w:val="00116B66"/>
    <w:rsid w:val="00125280"/>
    <w:rsid w:val="00131204"/>
    <w:rsid w:val="00133EE1"/>
    <w:rsid w:val="001428FD"/>
    <w:rsid w:val="001534AC"/>
    <w:rsid w:val="0015370E"/>
    <w:rsid w:val="00161173"/>
    <w:rsid w:val="001626C0"/>
    <w:rsid w:val="00164287"/>
    <w:rsid w:val="00166FDE"/>
    <w:rsid w:val="00185F4B"/>
    <w:rsid w:val="001A1027"/>
    <w:rsid w:val="001A4588"/>
    <w:rsid w:val="001C1770"/>
    <w:rsid w:val="001C1A1D"/>
    <w:rsid w:val="001C36F9"/>
    <w:rsid w:val="001D4397"/>
    <w:rsid w:val="001D4ED4"/>
    <w:rsid w:val="001E17EA"/>
    <w:rsid w:val="001E513C"/>
    <w:rsid w:val="00205F75"/>
    <w:rsid w:val="00207EA0"/>
    <w:rsid w:val="002205E1"/>
    <w:rsid w:val="00252121"/>
    <w:rsid w:val="00255B42"/>
    <w:rsid w:val="0029048F"/>
    <w:rsid w:val="00290DBE"/>
    <w:rsid w:val="002B068C"/>
    <w:rsid w:val="002B3FA8"/>
    <w:rsid w:val="002B5F36"/>
    <w:rsid w:val="002C4251"/>
    <w:rsid w:val="002D1A94"/>
    <w:rsid w:val="002E190A"/>
    <w:rsid w:val="002E3BF7"/>
    <w:rsid w:val="00301139"/>
    <w:rsid w:val="00304578"/>
    <w:rsid w:val="00306939"/>
    <w:rsid w:val="00311ACD"/>
    <w:rsid w:val="00317F79"/>
    <w:rsid w:val="00335430"/>
    <w:rsid w:val="00335CF5"/>
    <w:rsid w:val="00342A71"/>
    <w:rsid w:val="0035194A"/>
    <w:rsid w:val="0035332F"/>
    <w:rsid w:val="0035519F"/>
    <w:rsid w:val="00357709"/>
    <w:rsid w:val="003605C3"/>
    <w:rsid w:val="00373E7F"/>
    <w:rsid w:val="00375DE3"/>
    <w:rsid w:val="00382E95"/>
    <w:rsid w:val="003861E2"/>
    <w:rsid w:val="003A6986"/>
    <w:rsid w:val="003B12CF"/>
    <w:rsid w:val="003B60ED"/>
    <w:rsid w:val="003B7E23"/>
    <w:rsid w:val="003E4674"/>
    <w:rsid w:val="003F7609"/>
    <w:rsid w:val="00422B25"/>
    <w:rsid w:val="00435926"/>
    <w:rsid w:val="00457964"/>
    <w:rsid w:val="00461ECC"/>
    <w:rsid w:val="004641A7"/>
    <w:rsid w:val="00470622"/>
    <w:rsid w:val="004714C5"/>
    <w:rsid w:val="004805B2"/>
    <w:rsid w:val="00483C60"/>
    <w:rsid w:val="004852C8"/>
    <w:rsid w:val="0048738D"/>
    <w:rsid w:val="004914AC"/>
    <w:rsid w:val="004C2CED"/>
    <w:rsid w:val="004D31A0"/>
    <w:rsid w:val="004E2542"/>
    <w:rsid w:val="004E452C"/>
    <w:rsid w:val="004E5115"/>
    <w:rsid w:val="005065B2"/>
    <w:rsid w:val="00515B07"/>
    <w:rsid w:val="00564D0F"/>
    <w:rsid w:val="0057394A"/>
    <w:rsid w:val="00581BFB"/>
    <w:rsid w:val="00590430"/>
    <w:rsid w:val="00597C23"/>
    <w:rsid w:val="005A465A"/>
    <w:rsid w:val="005B1758"/>
    <w:rsid w:val="005B33C5"/>
    <w:rsid w:val="005B356E"/>
    <w:rsid w:val="005C43D8"/>
    <w:rsid w:val="005C545B"/>
    <w:rsid w:val="005C6212"/>
    <w:rsid w:val="005E5CB5"/>
    <w:rsid w:val="005F280F"/>
    <w:rsid w:val="00610A69"/>
    <w:rsid w:val="0062116A"/>
    <w:rsid w:val="00622D91"/>
    <w:rsid w:val="0062705A"/>
    <w:rsid w:val="00631EF7"/>
    <w:rsid w:val="00692150"/>
    <w:rsid w:val="006965FA"/>
    <w:rsid w:val="006A08E3"/>
    <w:rsid w:val="006B0EEC"/>
    <w:rsid w:val="006B4629"/>
    <w:rsid w:val="006C2B18"/>
    <w:rsid w:val="006D4CE0"/>
    <w:rsid w:val="006D729F"/>
    <w:rsid w:val="006E29C8"/>
    <w:rsid w:val="006E36FC"/>
    <w:rsid w:val="006E5B79"/>
    <w:rsid w:val="006E6E94"/>
    <w:rsid w:val="006E7447"/>
    <w:rsid w:val="00714897"/>
    <w:rsid w:val="00724C46"/>
    <w:rsid w:val="00727E71"/>
    <w:rsid w:val="007316F5"/>
    <w:rsid w:val="00735D7E"/>
    <w:rsid w:val="0076422B"/>
    <w:rsid w:val="007733C6"/>
    <w:rsid w:val="00782F79"/>
    <w:rsid w:val="00790820"/>
    <w:rsid w:val="00792D88"/>
    <w:rsid w:val="007A19A3"/>
    <w:rsid w:val="007A7E12"/>
    <w:rsid w:val="007F48A2"/>
    <w:rsid w:val="007F54AE"/>
    <w:rsid w:val="008152F1"/>
    <w:rsid w:val="00816D23"/>
    <w:rsid w:val="00817F7C"/>
    <w:rsid w:val="00832E29"/>
    <w:rsid w:val="00833D7E"/>
    <w:rsid w:val="00852A57"/>
    <w:rsid w:val="008557D4"/>
    <w:rsid w:val="00863EDC"/>
    <w:rsid w:val="00865CD2"/>
    <w:rsid w:val="0087528E"/>
    <w:rsid w:val="008A04F0"/>
    <w:rsid w:val="008A0D47"/>
    <w:rsid w:val="008A2F83"/>
    <w:rsid w:val="008C2CBC"/>
    <w:rsid w:val="008E6F5B"/>
    <w:rsid w:val="008F2323"/>
    <w:rsid w:val="00903A10"/>
    <w:rsid w:val="00904930"/>
    <w:rsid w:val="009108B0"/>
    <w:rsid w:val="00921D06"/>
    <w:rsid w:val="009349C1"/>
    <w:rsid w:val="00953B92"/>
    <w:rsid w:val="00965D45"/>
    <w:rsid w:val="009705FC"/>
    <w:rsid w:val="00976505"/>
    <w:rsid w:val="00983D2C"/>
    <w:rsid w:val="00984E25"/>
    <w:rsid w:val="00986C51"/>
    <w:rsid w:val="00991590"/>
    <w:rsid w:val="009A2581"/>
    <w:rsid w:val="009A3F28"/>
    <w:rsid w:val="009C216D"/>
    <w:rsid w:val="009E0A6B"/>
    <w:rsid w:val="009E1D16"/>
    <w:rsid w:val="009E1D95"/>
    <w:rsid w:val="009E7125"/>
    <w:rsid w:val="009F24D0"/>
    <w:rsid w:val="00A11D7F"/>
    <w:rsid w:val="00A21513"/>
    <w:rsid w:val="00A23826"/>
    <w:rsid w:val="00A35B51"/>
    <w:rsid w:val="00A37C47"/>
    <w:rsid w:val="00A4092E"/>
    <w:rsid w:val="00A523DA"/>
    <w:rsid w:val="00A52B71"/>
    <w:rsid w:val="00A600EB"/>
    <w:rsid w:val="00A76810"/>
    <w:rsid w:val="00A84363"/>
    <w:rsid w:val="00A91CE5"/>
    <w:rsid w:val="00AB7DB8"/>
    <w:rsid w:val="00AC6FFF"/>
    <w:rsid w:val="00B00D9E"/>
    <w:rsid w:val="00B33F40"/>
    <w:rsid w:val="00B42ECB"/>
    <w:rsid w:val="00B4407B"/>
    <w:rsid w:val="00B50B28"/>
    <w:rsid w:val="00B5552A"/>
    <w:rsid w:val="00B63C86"/>
    <w:rsid w:val="00B67DEC"/>
    <w:rsid w:val="00B9337E"/>
    <w:rsid w:val="00B9406A"/>
    <w:rsid w:val="00BA1F5B"/>
    <w:rsid w:val="00BB66DF"/>
    <w:rsid w:val="00BB7BBA"/>
    <w:rsid w:val="00BC59C3"/>
    <w:rsid w:val="00BC63AF"/>
    <w:rsid w:val="00BE606C"/>
    <w:rsid w:val="00BE75D4"/>
    <w:rsid w:val="00C20F7D"/>
    <w:rsid w:val="00C23DED"/>
    <w:rsid w:val="00C2749A"/>
    <w:rsid w:val="00C30960"/>
    <w:rsid w:val="00C3430C"/>
    <w:rsid w:val="00C35451"/>
    <w:rsid w:val="00C62BF8"/>
    <w:rsid w:val="00C6459F"/>
    <w:rsid w:val="00C67C72"/>
    <w:rsid w:val="00C74950"/>
    <w:rsid w:val="00C92479"/>
    <w:rsid w:val="00C94F4A"/>
    <w:rsid w:val="00C9685B"/>
    <w:rsid w:val="00CA4116"/>
    <w:rsid w:val="00CB5FF0"/>
    <w:rsid w:val="00CC4961"/>
    <w:rsid w:val="00CC506F"/>
    <w:rsid w:val="00CD069B"/>
    <w:rsid w:val="00CD7980"/>
    <w:rsid w:val="00CE0D8B"/>
    <w:rsid w:val="00D24F23"/>
    <w:rsid w:val="00D463E7"/>
    <w:rsid w:val="00D544C3"/>
    <w:rsid w:val="00D660A1"/>
    <w:rsid w:val="00D74A3A"/>
    <w:rsid w:val="00D763B0"/>
    <w:rsid w:val="00D90229"/>
    <w:rsid w:val="00DA2E4D"/>
    <w:rsid w:val="00DA4025"/>
    <w:rsid w:val="00DA5060"/>
    <w:rsid w:val="00DA68CF"/>
    <w:rsid w:val="00DB6858"/>
    <w:rsid w:val="00DE2848"/>
    <w:rsid w:val="00DE50B7"/>
    <w:rsid w:val="00DF4CFD"/>
    <w:rsid w:val="00DF5F60"/>
    <w:rsid w:val="00DF6CC0"/>
    <w:rsid w:val="00E036A8"/>
    <w:rsid w:val="00E05BDF"/>
    <w:rsid w:val="00E079EF"/>
    <w:rsid w:val="00E13D45"/>
    <w:rsid w:val="00E13F4F"/>
    <w:rsid w:val="00E25345"/>
    <w:rsid w:val="00E46BF9"/>
    <w:rsid w:val="00E471AE"/>
    <w:rsid w:val="00E55DBF"/>
    <w:rsid w:val="00E658A6"/>
    <w:rsid w:val="00E72967"/>
    <w:rsid w:val="00EB202E"/>
    <w:rsid w:val="00EC20CC"/>
    <w:rsid w:val="00EE45CF"/>
    <w:rsid w:val="00EF2804"/>
    <w:rsid w:val="00EF49A7"/>
    <w:rsid w:val="00EF60C0"/>
    <w:rsid w:val="00F0047D"/>
    <w:rsid w:val="00F22AE9"/>
    <w:rsid w:val="00F239C9"/>
    <w:rsid w:val="00F505DE"/>
    <w:rsid w:val="00F54F54"/>
    <w:rsid w:val="00F56A14"/>
    <w:rsid w:val="00F63C41"/>
    <w:rsid w:val="00F65DD4"/>
    <w:rsid w:val="00F76E23"/>
    <w:rsid w:val="00F773AF"/>
    <w:rsid w:val="00F77AE2"/>
    <w:rsid w:val="00F81824"/>
    <w:rsid w:val="00F85403"/>
    <w:rsid w:val="00F975D7"/>
    <w:rsid w:val="00FA352A"/>
    <w:rsid w:val="00FB09C4"/>
    <w:rsid w:val="00FB5968"/>
    <w:rsid w:val="00FC272C"/>
    <w:rsid w:val="00FE4150"/>
    <w:rsid w:val="00FF25CE"/>
    <w:rsid w:val="00FF40F9"/>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DCE8C-D33E-46A8-AD12-CD6B4B6D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B71"/>
    <w:rPr>
      <w:rFonts w:ascii="Tahoma" w:hAnsi="Tahoma" w:cs="Tahoma"/>
      <w:sz w:val="16"/>
      <w:szCs w:val="16"/>
    </w:rPr>
  </w:style>
  <w:style w:type="paragraph" w:styleId="Header">
    <w:name w:val="header"/>
    <w:basedOn w:val="Normal"/>
    <w:link w:val="HeaderChar"/>
    <w:uiPriority w:val="99"/>
    <w:unhideWhenUsed/>
    <w:rsid w:val="00A52B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B71"/>
  </w:style>
  <w:style w:type="paragraph" w:styleId="Footer">
    <w:name w:val="footer"/>
    <w:basedOn w:val="Normal"/>
    <w:link w:val="FooterChar"/>
    <w:uiPriority w:val="99"/>
    <w:unhideWhenUsed/>
    <w:rsid w:val="00A52B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B71"/>
  </w:style>
  <w:style w:type="character" w:styleId="Hyperlink">
    <w:name w:val="Hyperlink"/>
    <w:unhideWhenUsed/>
    <w:rsid w:val="00A52B71"/>
    <w:rPr>
      <w:color w:val="238E68"/>
      <w:u w:val="single"/>
    </w:rPr>
  </w:style>
  <w:style w:type="paragraph" w:styleId="ListParagraph">
    <w:name w:val="List Paragraph"/>
    <w:basedOn w:val="Normal"/>
    <w:uiPriority w:val="34"/>
    <w:qFormat/>
    <w:rsid w:val="00FB09C4"/>
    <w:pPr>
      <w:ind w:left="720"/>
      <w:contextualSpacing/>
    </w:pPr>
  </w:style>
  <w:style w:type="paragraph" w:styleId="FootnoteText">
    <w:name w:val="footnote text"/>
    <w:basedOn w:val="Normal"/>
    <w:link w:val="FootnoteTextChar"/>
    <w:uiPriority w:val="99"/>
    <w:unhideWhenUsed/>
    <w:rsid w:val="0015370E"/>
    <w:pPr>
      <w:spacing w:after="0" w:line="240" w:lineRule="auto"/>
    </w:pPr>
    <w:rPr>
      <w:sz w:val="20"/>
      <w:szCs w:val="20"/>
    </w:rPr>
  </w:style>
  <w:style w:type="character" w:customStyle="1" w:styleId="FootnoteTextChar">
    <w:name w:val="Footnote Text Char"/>
    <w:basedOn w:val="DefaultParagraphFont"/>
    <w:link w:val="FootnoteText"/>
    <w:uiPriority w:val="99"/>
    <w:rsid w:val="0015370E"/>
    <w:rPr>
      <w:sz w:val="20"/>
      <w:szCs w:val="20"/>
    </w:rPr>
  </w:style>
  <w:style w:type="character" w:styleId="FootnoteReference">
    <w:name w:val="footnote reference"/>
    <w:basedOn w:val="DefaultParagraphFont"/>
    <w:uiPriority w:val="99"/>
    <w:unhideWhenUsed/>
    <w:rsid w:val="0015370E"/>
    <w:rPr>
      <w:vertAlign w:val="superscript"/>
    </w:rPr>
  </w:style>
  <w:style w:type="character" w:styleId="Strong">
    <w:name w:val="Strong"/>
    <w:uiPriority w:val="22"/>
    <w:qFormat/>
    <w:rsid w:val="005B33C5"/>
    <w:rPr>
      <w:rFonts w:cs="Times New Roman"/>
      <w:b/>
      <w:bCs/>
    </w:rPr>
  </w:style>
  <w:style w:type="table" w:styleId="TableGrid">
    <w:name w:val="Table Grid"/>
    <w:basedOn w:val="TableNormal"/>
    <w:uiPriority w:val="59"/>
    <w:rsid w:val="00461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86C5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290D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0DBE"/>
    <w:rPr>
      <w:sz w:val="20"/>
      <w:szCs w:val="20"/>
    </w:rPr>
  </w:style>
  <w:style w:type="character" w:styleId="EndnoteReference">
    <w:name w:val="endnote reference"/>
    <w:basedOn w:val="DefaultParagraphFont"/>
    <w:uiPriority w:val="99"/>
    <w:semiHidden/>
    <w:unhideWhenUsed/>
    <w:rsid w:val="00290D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8595">
      <w:bodyDiv w:val="1"/>
      <w:marLeft w:val="0"/>
      <w:marRight w:val="0"/>
      <w:marTop w:val="0"/>
      <w:marBottom w:val="0"/>
      <w:divBdr>
        <w:top w:val="none" w:sz="0" w:space="0" w:color="auto"/>
        <w:left w:val="none" w:sz="0" w:space="0" w:color="auto"/>
        <w:bottom w:val="none" w:sz="0" w:space="0" w:color="auto"/>
        <w:right w:val="none" w:sz="0" w:space="0" w:color="auto"/>
      </w:divBdr>
    </w:div>
    <w:div w:id="49111783">
      <w:bodyDiv w:val="1"/>
      <w:marLeft w:val="0"/>
      <w:marRight w:val="0"/>
      <w:marTop w:val="0"/>
      <w:marBottom w:val="0"/>
      <w:divBdr>
        <w:top w:val="none" w:sz="0" w:space="0" w:color="auto"/>
        <w:left w:val="none" w:sz="0" w:space="0" w:color="auto"/>
        <w:bottom w:val="none" w:sz="0" w:space="0" w:color="auto"/>
        <w:right w:val="none" w:sz="0" w:space="0" w:color="auto"/>
      </w:divBdr>
    </w:div>
    <w:div w:id="151990389">
      <w:bodyDiv w:val="1"/>
      <w:marLeft w:val="0"/>
      <w:marRight w:val="0"/>
      <w:marTop w:val="0"/>
      <w:marBottom w:val="0"/>
      <w:divBdr>
        <w:top w:val="none" w:sz="0" w:space="0" w:color="auto"/>
        <w:left w:val="none" w:sz="0" w:space="0" w:color="auto"/>
        <w:bottom w:val="none" w:sz="0" w:space="0" w:color="auto"/>
        <w:right w:val="none" w:sz="0" w:space="0" w:color="auto"/>
      </w:divBdr>
    </w:div>
    <w:div w:id="310326547">
      <w:bodyDiv w:val="1"/>
      <w:marLeft w:val="0"/>
      <w:marRight w:val="0"/>
      <w:marTop w:val="0"/>
      <w:marBottom w:val="0"/>
      <w:divBdr>
        <w:top w:val="none" w:sz="0" w:space="0" w:color="auto"/>
        <w:left w:val="none" w:sz="0" w:space="0" w:color="auto"/>
        <w:bottom w:val="none" w:sz="0" w:space="0" w:color="auto"/>
        <w:right w:val="none" w:sz="0" w:space="0" w:color="auto"/>
      </w:divBdr>
    </w:div>
    <w:div w:id="877551629">
      <w:bodyDiv w:val="1"/>
      <w:marLeft w:val="0"/>
      <w:marRight w:val="0"/>
      <w:marTop w:val="0"/>
      <w:marBottom w:val="0"/>
      <w:divBdr>
        <w:top w:val="none" w:sz="0" w:space="0" w:color="auto"/>
        <w:left w:val="none" w:sz="0" w:space="0" w:color="auto"/>
        <w:bottom w:val="none" w:sz="0" w:space="0" w:color="auto"/>
        <w:right w:val="none" w:sz="0" w:space="0" w:color="auto"/>
      </w:divBdr>
    </w:div>
    <w:div w:id="916980730">
      <w:bodyDiv w:val="1"/>
      <w:marLeft w:val="0"/>
      <w:marRight w:val="0"/>
      <w:marTop w:val="0"/>
      <w:marBottom w:val="0"/>
      <w:divBdr>
        <w:top w:val="none" w:sz="0" w:space="0" w:color="auto"/>
        <w:left w:val="none" w:sz="0" w:space="0" w:color="auto"/>
        <w:bottom w:val="none" w:sz="0" w:space="0" w:color="auto"/>
        <w:right w:val="none" w:sz="0" w:space="0" w:color="auto"/>
      </w:divBdr>
    </w:div>
    <w:div w:id="1271625085">
      <w:bodyDiv w:val="1"/>
      <w:marLeft w:val="0"/>
      <w:marRight w:val="0"/>
      <w:marTop w:val="0"/>
      <w:marBottom w:val="0"/>
      <w:divBdr>
        <w:top w:val="none" w:sz="0" w:space="0" w:color="auto"/>
        <w:left w:val="none" w:sz="0" w:space="0" w:color="auto"/>
        <w:bottom w:val="none" w:sz="0" w:space="0" w:color="auto"/>
        <w:right w:val="none" w:sz="0" w:space="0" w:color="auto"/>
      </w:divBdr>
    </w:div>
    <w:div w:id="1386371804">
      <w:bodyDiv w:val="1"/>
      <w:marLeft w:val="0"/>
      <w:marRight w:val="0"/>
      <w:marTop w:val="0"/>
      <w:marBottom w:val="0"/>
      <w:divBdr>
        <w:top w:val="none" w:sz="0" w:space="0" w:color="auto"/>
        <w:left w:val="none" w:sz="0" w:space="0" w:color="auto"/>
        <w:bottom w:val="none" w:sz="0" w:space="0" w:color="auto"/>
        <w:right w:val="none" w:sz="0" w:space="0" w:color="auto"/>
      </w:divBdr>
    </w:div>
    <w:div w:id="208629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c:f>
              <c:strCache>
                <c:ptCount val="1"/>
                <c:pt idx="0">
                  <c:v>Ukupno praćenja</c:v>
                </c:pt>
              </c:strCache>
            </c:strRef>
          </c:tx>
          <c:invertIfNegative val="0"/>
          <c:cat>
            <c:strRef>
              <c:f>Sheet2!$A$2:$A$7</c:f>
              <c:strCache>
                <c:ptCount val="6"/>
                <c:pt idx="0">
                  <c:v>E-aukcija </c:v>
                </c:pt>
                <c:pt idx="1">
                  <c:v>Planovi nabavki</c:v>
                </c:pt>
                <c:pt idx="2">
                  <c:v>Prekoračena vrijednost u postupcima nabavke male vrijednosti</c:v>
                </c:pt>
                <c:pt idx="3">
                  <c:v>Po zahtjevima ponuđača</c:v>
                </c:pt>
                <c:pt idx="4">
                  <c:v>Po dopisu TI BIH</c:v>
                </c:pt>
                <c:pt idx="5">
                  <c:v>Ostalo</c:v>
                </c:pt>
              </c:strCache>
            </c:strRef>
          </c:cat>
          <c:val>
            <c:numRef>
              <c:f>Sheet2!$B$2:$B$7</c:f>
              <c:numCache>
                <c:formatCode>General</c:formatCode>
                <c:ptCount val="6"/>
                <c:pt idx="0">
                  <c:v>117</c:v>
                </c:pt>
                <c:pt idx="1">
                  <c:v>11</c:v>
                </c:pt>
                <c:pt idx="2">
                  <c:v>66</c:v>
                </c:pt>
                <c:pt idx="3">
                  <c:v>44</c:v>
                </c:pt>
                <c:pt idx="4">
                  <c:v>45</c:v>
                </c:pt>
                <c:pt idx="5">
                  <c:v>64</c:v>
                </c:pt>
              </c:numCache>
            </c:numRef>
          </c:val>
          <c:extLst xmlns:c16r2="http://schemas.microsoft.com/office/drawing/2015/06/chart">
            <c:ext xmlns:c16="http://schemas.microsoft.com/office/drawing/2014/chart" uri="{C3380CC4-5D6E-409C-BE32-E72D297353CC}">
              <c16:uniqueId val="{00000000-F4B3-410E-ABBD-0439E44513E1}"/>
            </c:ext>
          </c:extLst>
        </c:ser>
        <c:dLbls>
          <c:showLegendKey val="0"/>
          <c:showVal val="0"/>
          <c:showCatName val="0"/>
          <c:showSerName val="0"/>
          <c:showPercent val="0"/>
          <c:showBubbleSize val="0"/>
        </c:dLbls>
        <c:gapWidth val="150"/>
        <c:shape val="box"/>
        <c:axId val="317813696"/>
        <c:axId val="317814480"/>
        <c:axId val="0"/>
      </c:bar3DChart>
      <c:catAx>
        <c:axId val="317813696"/>
        <c:scaling>
          <c:orientation val="minMax"/>
        </c:scaling>
        <c:delete val="0"/>
        <c:axPos val="b"/>
        <c:numFmt formatCode="General" sourceLinked="0"/>
        <c:majorTickMark val="out"/>
        <c:minorTickMark val="none"/>
        <c:tickLblPos val="nextTo"/>
        <c:txPr>
          <a:bodyPr/>
          <a:lstStyle/>
          <a:p>
            <a:pPr>
              <a:defRPr sz="800"/>
            </a:pPr>
            <a:endParaRPr lang="sr-Latn-RS"/>
          </a:p>
        </c:txPr>
        <c:crossAx val="317814480"/>
        <c:crosses val="autoZero"/>
        <c:auto val="1"/>
        <c:lblAlgn val="ctr"/>
        <c:lblOffset val="100"/>
        <c:noMultiLvlLbl val="0"/>
      </c:catAx>
      <c:valAx>
        <c:axId val="317814480"/>
        <c:scaling>
          <c:orientation val="minMax"/>
        </c:scaling>
        <c:delete val="0"/>
        <c:axPos val="l"/>
        <c:majorGridlines/>
        <c:numFmt formatCode="General" sourceLinked="1"/>
        <c:majorTickMark val="out"/>
        <c:minorTickMark val="none"/>
        <c:tickLblPos val="nextTo"/>
        <c:crossAx val="3178136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Sheet1!$B$11</c:f>
              <c:strCache>
                <c:ptCount val="1"/>
                <c:pt idx="0">
                  <c:v>Broj ugovora</c:v>
                </c:pt>
              </c:strCache>
            </c:strRef>
          </c:tx>
          <c:invertIfNegative val="0"/>
          <c:cat>
            <c:strRef>
              <c:f>Sheet1!$A$12:$A$14</c:f>
              <c:strCache>
                <c:ptCount val="3"/>
                <c:pt idx="0">
                  <c:v>Radovi</c:v>
                </c:pt>
                <c:pt idx="1">
                  <c:v>Robe</c:v>
                </c:pt>
                <c:pt idx="2">
                  <c:v>Usluge</c:v>
                </c:pt>
              </c:strCache>
            </c:strRef>
          </c:cat>
          <c:val>
            <c:numRef>
              <c:f>Sheet1!$B$12:$B$14</c:f>
              <c:numCache>
                <c:formatCode>General</c:formatCode>
                <c:ptCount val="3"/>
                <c:pt idx="0">
                  <c:v>433</c:v>
                </c:pt>
                <c:pt idx="1">
                  <c:v>492</c:v>
                </c:pt>
                <c:pt idx="2">
                  <c:v>621</c:v>
                </c:pt>
              </c:numCache>
            </c:numRef>
          </c:val>
          <c:extLst xmlns:c16r2="http://schemas.microsoft.com/office/drawing/2015/06/chart">
            <c:ext xmlns:c16="http://schemas.microsoft.com/office/drawing/2014/chart" uri="{C3380CC4-5D6E-409C-BE32-E72D297353CC}">
              <c16:uniqueId val="{00000000-E226-4E2F-8E39-1C91120083B7}"/>
            </c:ext>
          </c:extLst>
        </c:ser>
        <c:dLbls>
          <c:showLegendKey val="0"/>
          <c:showVal val="0"/>
          <c:showCatName val="0"/>
          <c:showSerName val="0"/>
          <c:showPercent val="0"/>
          <c:showBubbleSize val="0"/>
        </c:dLbls>
        <c:gapWidth val="150"/>
        <c:shape val="box"/>
        <c:axId val="329366064"/>
        <c:axId val="329364496"/>
        <c:axId val="0"/>
      </c:bar3DChart>
      <c:catAx>
        <c:axId val="329366064"/>
        <c:scaling>
          <c:orientation val="minMax"/>
        </c:scaling>
        <c:delete val="0"/>
        <c:axPos val="b"/>
        <c:numFmt formatCode="General" sourceLinked="0"/>
        <c:majorTickMark val="out"/>
        <c:minorTickMark val="none"/>
        <c:tickLblPos val="nextTo"/>
        <c:crossAx val="329364496"/>
        <c:crosses val="autoZero"/>
        <c:auto val="1"/>
        <c:lblAlgn val="ctr"/>
        <c:lblOffset val="100"/>
        <c:noMultiLvlLbl val="0"/>
      </c:catAx>
      <c:valAx>
        <c:axId val="329364496"/>
        <c:scaling>
          <c:orientation val="minMax"/>
        </c:scaling>
        <c:delete val="0"/>
        <c:axPos val="l"/>
        <c:majorGridlines/>
        <c:numFmt formatCode="General" sourceLinked="1"/>
        <c:majorTickMark val="out"/>
        <c:minorTickMark val="none"/>
        <c:tickLblPos val="nextTo"/>
        <c:crossAx val="3293660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Sheet1!$A$1:$H$1</c:f>
              <c:strCache>
                <c:ptCount val="8"/>
                <c:pt idx="0">
                  <c:v>Bosna i Hercegovina</c:v>
                </c:pt>
                <c:pt idx="1">
                  <c:v>Brčko Distrikt BiH</c:v>
                </c:pt>
                <c:pt idx="2">
                  <c:v>Federacija BiH</c:v>
                </c:pt>
                <c:pt idx="3">
                  <c:v>Republika Srpska</c:v>
                </c:pt>
                <c:pt idx="4">
                  <c:v>Kantoni </c:v>
                </c:pt>
                <c:pt idx="5">
                  <c:v>Grad </c:v>
                </c:pt>
                <c:pt idx="6">
                  <c:v>Opštine</c:v>
                </c:pt>
                <c:pt idx="7">
                  <c:v>Total</c:v>
                </c:pt>
              </c:strCache>
            </c:strRef>
          </c:cat>
          <c:val>
            <c:numRef>
              <c:f>Sheet1!$A$2:$H$2</c:f>
              <c:numCache>
                <c:formatCode>General</c:formatCode>
                <c:ptCount val="8"/>
                <c:pt idx="0">
                  <c:v>85</c:v>
                </c:pt>
                <c:pt idx="1">
                  <c:v>46</c:v>
                </c:pt>
                <c:pt idx="2">
                  <c:v>268</c:v>
                </c:pt>
                <c:pt idx="3">
                  <c:v>415</c:v>
                </c:pt>
                <c:pt idx="4">
                  <c:v>231</c:v>
                </c:pt>
                <c:pt idx="5">
                  <c:v>160</c:v>
                </c:pt>
                <c:pt idx="6">
                  <c:v>341</c:v>
                </c:pt>
                <c:pt idx="7">
                  <c:v>1546</c:v>
                </c:pt>
              </c:numCache>
            </c:numRef>
          </c:val>
          <c:extLst xmlns:c16r2="http://schemas.microsoft.com/office/drawing/2015/06/chart">
            <c:ext xmlns:c16="http://schemas.microsoft.com/office/drawing/2014/chart" uri="{C3380CC4-5D6E-409C-BE32-E72D297353CC}">
              <c16:uniqueId val="{00000000-B927-4C45-9B06-B928F44B22BE}"/>
            </c:ext>
          </c:extLst>
        </c:ser>
        <c:dLbls>
          <c:showLegendKey val="0"/>
          <c:showVal val="0"/>
          <c:showCatName val="0"/>
          <c:showSerName val="0"/>
          <c:showPercent val="0"/>
          <c:showBubbleSize val="0"/>
        </c:dLbls>
        <c:gapWidth val="150"/>
        <c:shape val="box"/>
        <c:axId val="329362536"/>
        <c:axId val="329364104"/>
        <c:axId val="0"/>
      </c:bar3DChart>
      <c:catAx>
        <c:axId val="329362536"/>
        <c:scaling>
          <c:orientation val="minMax"/>
        </c:scaling>
        <c:delete val="0"/>
        <c:axPos val="b"/>
        <c:numFmt formatCode="General" sourceLinked="0"/>
        <c:majorTickMark val="out"/>
        <c:minorTickMark val="none"/>
        <c:tickLblPos val="nextTo"/>
        <c:crossAx val="329364104"/>
        <c:crosses val="autoZero"/>
        <c:auto val="1"/>
        <c:lblAlgn val="ctr"/>
        <c:lblOffset val="100"/>
        <c:noMultiLvlLbl val="0"/>
      </c:catAx>
      <c:valAx>
        <c:axId val="329364104"/>
        <c:scaling>
          <c:orientation val="minMax"/>
        </c:scaling>
        <c:delete val="0"/>
        <c:axPos val="l"/>
        <c:majorGridlines/>
        <c:numFmt formatCode="General" sourceLinked="1"/>
        <c:majorTickMark val="out"/>
        <c:minorTickMark val="none"/>
        <c:tickLblPos val="nextTo"/>
        <c:crossAx val="3293625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Sheet1!$A$10:$G$10</c:f>
              <c:strCache>
                <c:ptCount val="7"/>
                <c:pt idx="0">
                  <c:v>Bosna i Hercegovina</c:v>
                </c:pt>
                <c:pt idx="1">
                  <c:v>Brčko Distrikt BiH</c:v>
                </c:pt>
                <c:pt idx="2">
                  <c:v>Federacija BiH</c:v>
                </c:pt>
                <c:pt idx="3">
                  <c:v>Republika Srpska</c:v>
                </c:pt>
                <c:pt idx="4">
                  <c:v>Kantoni </c:v>
                </c:pt>
                <c:pt idx="5">
                  <c:v>Grad </c:v>
                </c:pt>
                <c:pt idx="6">
                  <c:v>Opštine</c:v>
                </c:pt>
              </c:strCache>
            </c:strRef>
          </c:cat>
          <c:val>
            <c:numRef>
              <c:f>Sheet1!$A$11:$G$11</c:f>
              <c:numCache>
                <c:formatCode>0.00%</c:formatCode>
                <c:ptCount val="7"/>
                <c:pt idx="0">
                  <c:v>5.5E-2</c:v>
                </c:pt>
                <c:pt idx="1">
                  <c:v>2.9700000000000001E-2</c:v>
                </c:pt>
                <c:pt idx="2">
                  <c:v>0.17330000000000001</c:v>
                </c:pt>
                <c:pt idx="3">
                  <c:v>0.26840000000000003</c:v>
                </c:pt>
                <c:pt idx="4">
                  <c:v>0.14940000000000001</c:v>
                </c:pt>
                <c:pt idx="5">
                  <c:v>0.10349999999999999</c:v>
                </c:pt>
                <c:pt idx="6">
                  <c:v>0.22070000000000001</c:v>
                </c:pt>
              </c:numCache>
            </c:numRef>
          </c:val>
          <c:extLst xmlns:c16r2="http://schemas.microsoft.com/office/drawing/2015/06/chart">
            <c:ext xmlns:c16="http://schemas.microsoft.com/office/drawing/2014/chart" uri="{C3380CC4-5D6E-409C-BE32-E72D297353CC}">
              <c16:uniqueId val="{00000000-37EF-4376-93B2-95B12062FACB}"/>
            </c:ext>
          </c:extLst>
        </c:ser>
        <c:dLbls>
          <c:showLegendKey val="0"/>
          <c:showVal val="0"/>
          <c:showCatName val="0"/>
          <c:showSerName val="0"/>
          <c:showPercent val="0"/>
          <c:showBubbleSize val="0"/>
        </c:dLbls>
        <c:gapWidth val="150"/>
        <c:shape val="box"/>
        <c:axId val="329362928"/>
        <c:axId val="329363320"/>
        <c:axId val="0"/>
      </c:bar3DChart>
      <c:catAx>
        <c:axId val="329362928"/>
        <c:scaling>
          <c:orientation val="minMax"/>
        </c:scaling>
        <c:delete val="0"/>
        <c:axPos val="b"/>
        <c:numFmt formatCode="General" sourceLinked="0"/>
        <c:majorTickMark val="out"/>
        <c:minorTickMark val="none"/>
        <c:tickLblPos val="nextTo"/>
        <c:crossAx val="329363320"/>
        <c:crosses val="autoZero"/>
        <c:auto val="1"/>
        <c:lblAlgn val="ctr"/>
        <c:lblOffset val="100"/>
        <c:noMultiLvlLbl val="0"/>
      </c:catAx>
      <c:valAx>
        <c:axId val="329363320"/>
        <c:scaling>
          <c:orientation val="minMax"/>
        </c:scaling>
        <c:delete val="0"/>
        <c:axPos val="l"/>
        <c:majorGridlines/>
        <c:numFmt formatCode="0.00%" sourceLinked="1"/>
        <c:majorTickMark val="out"/>
        <c:minorTickMark val="none"/>
        <c:tickLblPos val="nextTo"/>
        <c:crossAx val="3293629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456736061835"/>
          <c:y val="9.546093162764939E-2"/>
          <c:w val="0.54136368110236222"/>
          <c:h val="0.81204547169995867"/>
        </c:manualLayout>
      </c:layout>
      <c:pieChart>
        <c:varyColors val="1"/>
        <c:ser>
          <c:idx val="0"/>
          <c:order val="0"/>
          <c:tx>
            <c:strRef>
              <c:f>Sheet1!$B$1</c:f>
              <c:strCache>
                <c:ptCount val="1"/>
                <c:pt idx="0">
                  <c:v>Sales</c:v>
                </c:pt>
              </c:strCache>
            </c:strRef>
          </c:tx>
          <c:spPr>
            <a:scene3d>
              <a:camera prst="orthographicFront"/>
              <a:lightRig rig="threePt" dir="t"/>
            </a:scene3d>
            <a:sp3d>
              <a:bevelT prst="relaxedInset"/>
            </a:sp3d>
          </c:spPr>
          <c:explosion val="1"/>
          <c:dPt>
            <c:idx val="0"/>
            <c:bubble3D val="0"/>
            <c:extLst xmlns:c16r2="http://schemas.microsoft.com/office/drawing/2015/06/chart">
              <c:ext xmlns:c16="http://schemas.microsoft.com/office/drawing/2014/chart" uri="{C3380CC4-5D6E-409C-BE32-E72D297353CC}">
                <c16:uniqueId val="{00000000-8B49-435C-AED0-61ECDD0454B0}"/>
              </c:ext>
            </c:extLst>
          </c:dPt>
          <c:dPt>
            <c:idx val="1"/>
            <c:bubble3D val="0"/>
            <c:extLst xmlns:c16r2="http://schemas.microsoft.com/office/drawing/2015/06/chart">
              <c:ext xmlns:c16="http://schemas.microsoft.com/office/drawing/2014/chart" uri="{C3380CC4-5D6E-409C-BE32-E72D297353CC}">
                <c16:uniqueId val="{00000001-8B49-435C-AED0-61ECDD0454B0}"/>
              </c:ext>
            </c:extLst>
          </c:dPt>
          <c:dPt>
            <c:idx val="2"/>
            <c:bubble3D val="0"/>
            <c:extLst xmlns:c16r2="http://schemas.microsoft.com/office/drawing/2015/06/chart">
              <c:ext xmlns:c16="http://schemas.microsoft.com/office/drawing/2014/chart" uri="{C3380CC4-5D6E-409C-BE32-E72D297353CC}">
                <c16:uniqueId val="{00000002-8B49-435C-AED0-61ECDD0454B0}"/>
              </c:ext>
            </c:extLst>
          </c:dPt>
          <c:dPt>
            <c:idx val="3"/>
            <c:bubble3D val="0"/>
            <c:extLst xmlns:c16r2="http://schemas.microsoft.com/office/drawing/2015/06/chart">
              <c:ext xmlns:c16="http://schemas.microsoft.com/office/drawing/2014/chart" uri="{C3380CC4-5D6E-409C-BE32-E72D297353CC}">
                <c16:uniqueId val="{00000003-8B49-435C-AED0-61ECDD0454B0}"/>
              </c:ext>
            </c:extLst>
          </c:dPt>
          <c:cat>
            <c:strRef>
              <c:f>Sheet1!$A$2:$A$5</c:f>
              <c:strCache>
                <c:ptCount val="4"/>
                <c:pt idx="0">
                  <c:v>Clan 21</c:v>
                </c:pt>
                <c:pt idx="1">
                  <c:v>Član 22</c:v>
                </c:pt>
                <c:pt idx="2">
                  <c:v>Clan 23</c:v>
                </c:pt>
                <c:pt idx="3">
                  <c:v>Clan 24</c:v>
                </c:pt>
              </c:strCache>
            </c:strRef>
          </c:cat>
          <c:val>
            <c:numRef>
              <c:f>Sheet1!$B$2:$B$5</c:f>
              <c:numCache>
                <c:formatCode>General</c:formatCode>
                <c:ptCount val="4"/>
                <c:pt idx="0">
                  <c:v>1118</c:v>
                </c:pt>
                <c:pt idx="1">
                  <c:v>51</c:v>
                </c:pt>
                <c:pt idx="2">
                  <c:v>73</c:v>
                </c:pt>
                <c:pt idx="3">
                  <c:v>304</c:v>
                </c:pt>
              </c:numCache>
            </c:numRef>
          </c:val>
          <c:extLst xmlns:c16r2="http://schemas.microsoft.com/office/drawing/2015/06/chart">
            <c:ext xmlns:c16="http://schemas.microsoft.com/office/drawing/2014/chart" uri="{C3380CC4-5D6E-409C-BE32-E72D297353CC}">
              <c16:uniqueId val="{00000004-8B49-435C-AED0-61ECDD0454B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535154816342379"/>
          <c:y val="0.57469392380081674"/>
          <c:w val="0.2675421189364936"/>
          <c:h val="0.24014983758920788"/>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noFill/>
    <a:ln>
      <a:noFill/>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Sheet4!$A$1:$D$1</c:f>
              <c:strCache>
                <c:ptCount val="4"/>
                <c:pt idx="0">
                  <c:v>Clan 21 (1) a)</c:v>
                </c:pt>
                <c:pt idx="1">
                  <c:v>Clan 21. (1) b)</c:v>
                </c:pt>
                <c:pt idx="2">
                  <c:v>Clan 21.(1) c)</c:v>
                </c:pt>
                <c:pt idx="3">
                  <c:v>Clan 21.(1) d)</c:v>
                </c:pt>
              </c:strCache>
            </c:strRef>
          </c:cat>
          <c:val>
            <c:numRef>
              <c:f>Sheet4!$A$2:$D$2</c:f>
              <c:numCache>
                <c:formatCode>General</c:formatCode>
                <c:ptCount val="4"/>
                <c:pt idx="0">
                  <c:v>226</c:v>
                </c:pt>
                <c:pt idx="1">
                  <c:v>9</c:v>
                </c:pt>
                <c:pt idx="2">
                  <c:v>607</c:v>
                </c:pt>
                <c:pt idx="3">
                  <c:v>276</c:v>
                </c:pt>
              </c:numCache>
            </c:numRef>
          </c:val>
          <c:extLst xmlns:c16r2="http://schemas.microsoft.com/office/drawing/2015/06/chart">
            <c:ext xmlns:c16="http://schemas.microsoft.com/office/drawing/2014/chart" uri="{C3380CC4-5D6E-409C-BE32-E72D297353CC}">
              <c16:uniqueId val="{00000000-8B80-416A-8052-F08FDB563C37}"/>
            </c:ext>
          </c:extLst>
        </c:ser>
        <c:dLbls>
          <c:showLegendKey val="0"/>
          <c:showVal val="0"/>
          <c:showCatName val="0"/>
          <c:showSerName val="0"/>
          <c:showPercent val="0"/>
          <c:showBubbleSize val="0"/>
        </c:dLbls>
        <c:gapWidth val="150"/>
        <c:shape val="box"/>
        <c:axId val="331752720"/>
        <c:axId val="331751544"/>
        <c:axId val="0"/>
      </c:bar3DChart>
      <c:catAx>
        <c:axId val="33175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51544"/>
        <c:crosses val="autoZero"/>
        <c:auto val="1"/>
        <c:lblAlgn val="ctr"/>
        <c:lblOffset val="100"/>
        <c:noMultiLvlLbl val="0"/>
      </c:catAx>
      <c:valAx>
        <c:axId val="33175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5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Sheet4!$A$2</c:f>
              <c:strCache>
                <c:ptCount val="1"/>
                <c:pt idx="0">
                  <c:v>Tacka a)</c:v>
                </c:pt>
              </c:strCache>
            </c:strRef>
          </c:tx>
          <c:spPr>
            <a:solidFill>
              <a:schemeClr val="accent1"/>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Sheet4!$B$2:$E$2</c:f>
              <c:numCache>
                <c:formatCode>General</c:formatCode>
                <c:ptCount val="4"/>
                <c:pt idx="0">
                  <c:v>226</c:v>
                </c:pt>
                <c:pt idx="1">
                  <c:v>3</c:v>
                </c:pt>
                <c:pt idx="2">
                  <c:v>3</c:v>
                </c:pt>
                <c:pt idx="3">
                  <c:v>250</c:v>
                </c:pt>
              </c:numCache>
            </c:numRef>
          </c:val>
          <c:extLst xmlns:c16r2="http://schemas.microsoft.com/office/drawing/2015/06/chart">
            <c:ext xmlns:c16="http://schemas.microsoft.com/office/drawing/2014/chart" uri="{C3380CC4-5D6E-409C-BE32-E72D297353CC}">
              <c16:uniqueId val="{00000000-A0E7-46A2-B266-6EB4C01A2D5F}"/>
            </c:ext>
          </c:extLst>
        </c:ser>
        <c:ser>
          <c:idx val="1"/>
          <c:order val="1"/>
          <c:tx>
            <c:strRef>
              <c:f>Sheet4!$A$3</c:f>
              <c:strCache>
                <c:ptCount val="1"/>
                <c:pt idx="0">
                  <c:v>Tacka b)</c:v>
                </c:pt>
              </c:strCache>
            </c:strRef>
          </c:tx>
          <c:spPr>
            <a:solidFill>
              <a:schemeClr val="accent2"/>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Sheet4!$B$3:$E$3</c:f>
              <c:numCache>
                <c:formatCode>General</c:formatCode>
                <c:ptCount val="4"/>
                <c:pt idx="0">
                  <c:v>9</c:v>
                </c:pt>
                <c:pt idx="1">
                  <c:v>42</c:v>
                </c:pt>
                <c:pt idx="2">
                  <c:v>48</c:v>
                </c:pt>
                <c:pt idx="3">
                  <c:v>54</c:v>
                </c:pt>
              </c:numCache>
            </c:numRef>
          </c:val>
          <c:extLst xmlns:c16r2="http://schemas.microsoft.com/office/drawing/2015/06/chart">
            <c:ext xmlns:c16="http://schemas.microsoft.com/office/drawing/2014/chart" uri="{C3380CC4-5D6E-409C-BE32-E72D297353CC}">
              <c16:uniqueId val="{00000001-A0E7-46A2-B266-6EB4C01A2D5F}"/>
            </c:ext>
          </c:extLst>
        </c:ser>
        <c:ser>
          <c:idx val="2"/>
          <c:order val="2"/>
          <c:tx>
            <c:strRef>
              <c:f>Sheet4!$A$4</c:f>
              <c:strCache>
                <c:ptCount val="1"/>
                <c:pt idx="0">
                  <c:v>Tacka c)</c:v>
                </c:pt>
              </c:strCache>
            </c:strRef>
          </c:tx>
          <c:spPr>
            <a:solidFill>
              <a:schemeClr val="accent3"/>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Sheet4!$B$4:$E$4</c:f>
              <c:numCache>
                <c:formatCode>General</c:formatCode>
                <c:ptCount val="4"/>
                <c:pt idx="0">
                  <c:v>667</c:v>
                </c:pt>
                <c:pt idx="1">
                  <c:v>4</c:v>
                </c:pt>
                <c:pt idx="2">
                  <c:v>22</c:v>
                </c:pt>
              </c:numCache>
            </c:numRef>
          </c:val>
          <c:extLst xmlns:c16r2="http://schemas.microsoft.com/office/drawing/2015/06/chart">
            <c:ext xmlns:c16="http://schemas.microsoft.com/office/drawing/2014/chart" uri="{C3380CC4-5D6E-409C-BE32-E72D297353CC}">
              <c16:uniqueId val="{00000002-A0E7-46A2-B266-6EB4C01A2D5F}"/>
            </c:ext>
          </c:extLst>
        </c:ser>
        <c:ser>
          <c:idx val="3"/>
          <c:order val="3"/>
          <c:tx>
            <c:strRef>
              <c:f>Sheet4!$A$5</c:f>
              <c:strCache>
                <c:ptCount val="1"/>
                <c:pt idx="0">
                  <c:v>Tacka d)</c:v>
                </c:pt>
              </c:strCache>
            </c:strRef>
          </c:tx>
          <c:spPr>
            <a:solidFill>
              <a:schemeClr val="accent4"/>
            </a:solidFill>
            <a:ln>
              <a:noFill/>
            </a:ln>
            <a:effectLst/>
            <a:sp3d/>
          </c:spPr>
          <c:invertIfNegative val="0"/>
          <c:cat>
            <c:strRef>
              <c:f>Sheet4!$B$1:$E$1</c:f>
              <c:strCache>
                <c:ptCount val="4"/>
                <c:pt idx="0">
                  <c:v>Clan 21 stav (1) </c:v>
                </c:pt>
                <c:pt idx="1">
                  <c:v>Clan 22. stav (1)</c:v>
                </c:pt>
                <c:pt idx="2">
                  <c:v>Clan 23. stav (1)</c:v>
                </c:pt>
                <c:pt idx="3">
                  <c:v>Clan 24. stav (1)</c:v>
                </c:pt>
              </c:strCache>
            </c:strRef>
          </c:cat>
          <c:val>
            <c:numRef>
              <c:f>Sheet4!$B$5:$E$5</c:f>
              <c:numCache>
                <c:formatCode>General</c:formatCode>
                <c:ptCount val="4"/>
                <c:pt idx="0">
                  <c:v>276</c:v>
                </c:pt>
                <c:pt idx="1">
                  <c:v>2</c:v>
                </c:pt>
              </c:numCache>
            </c:numRef>
          </c:val>
          <c:extLst xmlns:c16r2="http://schemas.microsoft.com/office/drawing/2015/06/chart">
            <c:ext xmlns:c16="http://schemas.microsoft.com/office/drawing/2014/chart" uri="{C3380CC4-5D6E-409C-BE32-E72D297353CC}">
              <c16:uniqueId val="{00000003-A0E7-46A2-B266-6EB4C01A2D5F}"/>
            </c:ext>
          </c:extLst>
        </c:ser>
        <c:dLbls>
          <c:showLegendKey val="0"/>
          <c:showVal val="0"/>
          <c:showCatName val="0"/>
          <c:showSerName val="0"/>
          <c:showPercent val="0"/>
          <c:showBubbleSize val="0"/>
        </c:dLbls>
        <c:gapWidth val="150"/>
        <c:shape val="box"/>
        <c:axId val="331754680"/>
        <c:axId val="331755072"/>
        <c:axId val="0"/>
      </c:bar3DChart>
      <c:catAx>
        <c:axId val="331754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55072"/>
        <c:crosses val="autoZero"/>
        <c:auto val="1"/>
        <c:lblAlgn val="ctr"/>
        <c:lblOffset val="100"/>
        <c:noMultiLvlLbl val="0"/>
      </c:catAx>
      <c:valAx>
        <c:axId val="33175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5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Prekršajni</a:t>
            </a:r>
            <a:r>
              <a:rPr lang="bs-Latn-BA" baseline="0"/>
              <a:t> postupci pokrenuti u 2019.godini</a:t>
            </a:r>
            <a:endParaRPr lang="bs-Latn-BA"/>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Sheet3!$A$1:$A$5</c:f>
              <c:strCache>
                <c:ptCount val="5"/>
                <c:pt idx="0">
                  <c:v>Pokrenuti prekršajni postupci u 2019</c:v>
                </c:pt>
                <c:pt idx="1">
                  <c:v>Pravosnažnih odluka </c:v>
                </c:pt>
                <c:pt idx="2">
                  <c:v>Nepravosnažnih odluka </c:v>
                </c:pt>
                <c:pt idx="3">
                  <c:v>U toku</c:v>
                </c:pt>
                <c:pt idx="4">
                  <c:v>Nije procesuirano</c:v>
                </c:pt>
              </c:strCache>
            </c:strRef>
          </c:cat>
          <c:val>
            <c:numRef>
              <c:f>Sheet3!$B$1:$B$5</c:f>
              <c:numCache>
                <c:formatCode>General</c:formatCode>
                <c:ptCount val="5"/>
                <c:pt idx="0">
                  <c:v>26</c:v>
                </c:pt>
                <c:pt idx="1">
                  <c:v>6</c:v>
                </c:pt>
                <c:pt idx="2">
                  <c:v>5</c:v>
                </c:pt>
                <c:pt idx="3">
                  <c:v>4</c:v>
                </c:pt>
                <c:pt idx="4">
                  <c:v>11</c:v>
                </c:pt>
              </c:numCache>
            </c:numRef>
          </c:val>
          <c:extLst xmlns:c16r2="http://schemas.microsoft.com/office/drawing/2015/06/chart">
            <c:ext xmlns:c16="http://schemas.microsoft.com/office/drawing/2014/chart" uri="{C3380CC4-5D6E-409C-BE32-E72D297353CC}">
              <c16:uniqueId val="{00000000-A106-4D8A-A372-2BBBC23C09EF}"/>
            </c:ext>
          </c:extLst>
        </c:ser>
        <c:dLbls>
          <c:showLegendKey val="0"/>
          <c:showVal val="0"/>
          <c:showCatName val="0"/>
          <c:showSerName val="0"/>
          <c:showPercent val="0"/>
          <c:showBubbleSize val="0"/>
        </c:dLbls>
        <c:gapWidth val="150"/>
        <c:shape val="box"/>
        <c:axId val="331753112"/>
        <c:axId val="331751936"/>
        <c:axId val="0"/>
      </c:bar3DChart>
      <c:catAx>
        <c:axId val="331753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51936"/>
        <c:crosses val="autoZero"/>
        <c:auto val="1"/>
        <c:lblAlgn val="ctr"/>
        <c:lblOffset val="100"/>
        <c:noMultiLvlLbl val="0"/>
      </c:catAx>
      <c:valAx>
        <c:axId val="33175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53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84B7-6DAF-4205-8A60-8D68DFC20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4338</Words>
  <Characters>24731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Djinita Foco</dc:creator>
  <cp:keywords/>
  <dc:description/>
  <cp:lastModifiedBy>Djinita Foco</cp:lastModifiedBy>
  <cp:revision>2</cp:revision>
  <dcterms:created xsi:type="dcterms:W3CDTF">2021-03-10T08:18:00Z</dcterms:created>
  <dcterms:modified xsi:type="dcterms:W3CDTF">2021-03-10T08:18:00Z</dcterms:modified>
</cp:coreProperties>
</file>