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E8C9" w14:textId="77777777" w:rsidR="008E40F6" w:rsidRDefault="008E40F6" w:rsidP="008E40F6">
      <w:pPr>
        <w:spacing w:before="120" w:after="120"/>
        <w:rPr>
          <w:rFonts w:ascii="Arial" w:hAnsi="Arial" w:cs="Arial"/>
          <w:sz w:val="20"/>
          <w:szCs w:val="20"/>
        </w:rPr>
      </w:pPr>
      <w:r w:rsidRPr="006433E9">
        <w:rPr>
          <w:rFonts w:ascii="Arial" w:hAnsi="Arial" w:cs="Arial"/>
          <w:sz w:val="20"/>
          <w:szCs w:val="20"/>
        </w:rPr>
        <w:t xml:space="preserve">The draft </w:t>
      </w:r>
      <w:r>
        <w:rPr>
          <w:rFonts w:ascii="Arial" w:hAnsi="Arial" w:cs="Arial"/>
          <w:sz w:val="20"/>
          <w:szCs w:val="20"/>
        </w:rPr>
        <w:t>Law</w:t>
      </w:r>
      <w:r w:rsidRPr="006433E9">
        <w:rPr>
          <w:rFonts w:ascii="Arial" w:hAnsi="Arial" w:cs="Arial"/>
          <w:sz w:val="20"/>
          <w:szCs w:val="20"/>
        </w:rPr>
        <w:t xml:space="preserve"> aims to achieve an almost complete transposition of the Public Sector </w:t>
      </w:r>
      <w:r w:rsidRPr="00FB5FC1">
        <w:rPr>
          <w:rFonts w:ascii="Arial" w:hAnsi="Arial" w:cs="Arial"/>
          <w:sz w:val="20"/>
          <w:szCs w:val="20"/>
        </w:rPr>
        <w:t>Directive</w:t>
      </w:r>
      <w:r w:rsidRPr="00FB5FC1">
        <w:rPr>
          <w:rStyle w:val="FootnoteReference"/>
          <w:rFonts w:ascii="Arial" w:hAnsi="Arial" w:cs="Arial"/>
          <w:szCs w:val="20"/>
        </w:rPr>
        <w:footnoteReference w:id="1"/>
      </w:r>
      <w:r w:rsidRPr="006433E9">
        <w:rPr>
          <w:rFonts w:ascii="Arial" w:hAnsi="Arial" w:cs="Arial"/>
          <w:sz w:val="20"/>
          <w:szCs w:val="20"/>
        </w:rPr>
        <w:t xml:space="preserve">, the Utilities </w:t>
      </w:r>
      <w:r w:rsidRPr="00FB5FC1">
        <w:rPr>
          <w:rFonts w:ascii="Arial" w:hAnsi="Arial" w:cs="Arial"/>
          <w:sz w:val="20"/>
          <w:szCs w:val="20"/>
        </w:rPr>
        <w:t>Directive</w:t>
      </w:r>
      <w:r w:rsidRPr="00FB5FC1">
        <w:rPr>
          <w:rStyle w:val="FootnoteReference"/>
          <w:rFonts w:ascii="Arial" w:hAnsi="Arial" w:cs="Arial"/>
          <w:szCs w:val="20"/>
        </w:rPr>
        <w:footnoteReference w:id="2"/>
      </w:r>
      <w:r w:rsidRPr="00FB5FC1">
        <w:rPr>
          <w:rFonts w:ascii="Arial" w:hAnsi="Arial" w:cs="Arial"/>
          <w:sz w:val="20"/>
          <w:szCs w:val="20"/>
        </w:rPr>
        <w:t>,</w:t>
      </w:r>
      <w:r w:rsidRPr="006433E9">
        <w:rPr>
          <w:rFonts w:ascii="Arial" w:hAnsi="Arial" w:cs="Arial"/>
          <w:sz w:val="20"/>
          <w:szCs w:val="20"/>
        </w:rPr>
        <w:t xml:space="preserve"> the two Remedies </w:t>
      </w:r>
      <w:r w:rsidRPr="00FB5FC1">
        <w:rPr>
          <w:rFonts w:ascii="Arial" w:hAnsi="Arial" w:cs="Arial"/>
          <w:sz w:val="20"/>
          <w:szCs w:val="20"/>
        </w:rPr>
        <w:t>Directives</w:t>
      </w:r>
      <w:r w:rsidRPr="00FB5FC1">
        <w:rPr>
          <w:rStyle w:val="FootnoteReference"/>
          <w:rFonts w:ascii="Arial" w:hAnsi="Arial" w:cs="Arial"/>
          <w:szCs w:val="20"/>
        </w:rPr>
        <w:footnoteReference w:id="3"/>
      </w:r>
      <w:r w:rsidRPr="006433E9">
        <w:rPr>
          <w:rFonts w:ascii="Arial" w:hAnsi="Arial" w:cs="Arial"/>
          <w:sz w:val="20"/>
          <w:szCs w:val="20"/>
        </w:rPr>
        <w:t xml:space="preserve"> and selected core provisions of the Defence </w:t>
      </w:r>
      <w:r w:rsidRPr="00FB5FC1">
        <w:rPr>
          <w:rFonts w:ascii="Arial" w:hAnsi="Arial" w:cs="Arial"/>
          <w:sz w:val="20"/>
          <w:szCs w:val="20"/>
        </w:rPr>
        <w:t>Directive</w:t>
      </w:r>
      <w:r w:rsidRPr="00FB5FC1">
        <w:rPr>
          <w:rStyle w:val="FootnoteReference"/>
          <w:rFonts w:ascii="Arial" w:hAnsi="Arial" w:cs="Arial"/>
          <w:szCs w:val="20"/>
        </w:rPr>
        <w:footnoteReference w:id="4"/>
      </w:r>
      <w:r w:rsidRPr="006433E9">
        <w:rPr>
          <w:rFonts w:ascii="Arial" w:hAnsi="Arial" w:cs="Arial"/>
          <w:sz w:val="20"/>
          <w:szCs w:val="20"/>
        </w:rPr>
        <w:t xml:space="preserve">. In broad terms, the draft succeeds in incorporating nearly all provisions that EU Member States are required to transpose, leaving aside only those elements of the directives that either address EU institutions directly, contain no normative rules suitable for national legislation, or otherwise fall outside the scope of mandatory transposition. </w:t>
      </w:r>
      <w:r w:rsidRPr="00645538">
        <w:rPr>
          <w:rFonts w:ascii="Arial" w:hAnsi="Arial" w:cs="Arial"/>
          <w:sz w:val="20"/>
          <w:szCs w:val="20"/>
        </w:rPr>
        <w:t>As compared with the current legal framework the new provisions significantly improve the level of compliance of the BiH provisions with the EU requirements.</w:t>
      </w:r>
      <w:r w:rsidRPr="00FB5FC1">
        <w:rPr>
          <w:rFonts w:ascii="Arial" w:hAnsi="Arial" w:cs="Arial"/>
          <w:sz w:val="20"/>
          <w:szCs w:val="20"/>
        </w:rPr>
        <w:t xml:space="preserve"> </w:t>
      </w:r>
      <w:r w:rsidRPr="006433E9">
        <w:rPr>
          <w:rFonts w:ascii="Arial" w:hAnsi="Arial" w:cs="Arial"/>
          <w:sz w:val="20"/>
          <w:szCs w:val="20"/>
        </w:rPr>
        <w:t>Nevertheless, a limited number of provisions remain either omitted or only partially or incorrectly transposed. These gaps and misalignments</w:t>
      </w:r>
      <w:r>
        <w:rPr>
          <w:rFonts w:ascii="Arial" w:hAnsi="Arial" w:cs="Arial"/>
          <w:sz w:val="20"/>
          <w:szCs w:val="20"/>
        </w:rPr>
        <w:t xml:space="preserve"> </w:t>
      </w:r>
      <w:r w:rsidRPr="006433E9">
        <w:rPr>
          <w:rFonts w:ascii="Arial" w:hAnsi="Arial" w:cs="Arial"/>
          <w:sz w:val="20"/>
          <w:szCs w:val="20"/>
        </w:rPr>
        <w:t>require correction to ensure full compliance with the acquis and to prevent inconsistencies in implementation and enforcement.</w:t>
      </w:r>
      <w:r w:rsidRPr="00645538">
        <w:rPr>
          <w:rFonts w:ascii="Arial" w:hAnsi="Arial" w:cs="Arial"/>
          <w:sz w:val="20"/>
          <w:szCs w:val="20"/>
          <w:highlight w:val="yellow"/>
        </w:rPr>
        <w:t xml:space="preserve"> </w:t>
      </w:r>
    </w:p>
    <w:p w14:paraId="21703060" w14:textId="77777777" w:rsidR="008E40F6" w:rsidRPr="00026E88" w:rsidRDefault="008E40F6" w:rsidP="008E40F6">
      <w:pPr>
        <w:spacing w:before="120" w:after="120"/>
        <w:rPr>
          <w:rFonts w:ascii="Arial" w:hAnsi="Arial" w:cs="Arial"/>
          <w:sz w:val="20"/>
          <w:szCs w:val="20"/>
        </w:rPr>
      </w:pPr>
      <w:r w:rsidRPr="00026E88">
        <w:rPr>
          <w:rFonts w:ascii="Arial" w:hAnsi="Arial" w:cs="Arial"/>
          <w:sz w:val="20"/>
          <w:szCs w:val="20"/>
        </w:rPr>
        <w:t xml:space="preserve">The draft Law demonstrates significant work and ambition. It introduces detailed rules for </w:t>
      </w:r>
      <w:r>
        <w:rPr>
          <w:rFonts w:ascii="Arial" w:hAnsi="Arial" w:cs="Arial"/>
          <w:sz w:val="20"/>
          <w:szCs w:val="20"/>
        </w:rPr>
        <w:t>the award of contracts of all values</w:t>
      </w:r>
      <w:r w:rsidRPr="00026E88">
        <w:rPr>
          <w:rFonts w:ascii="Arial" w:hAnsi="Arial" w:cs="Arial"/>
          <w:sz w:val="20"/>
          <w:szCs w:val="20"/>
        </w:rPr>
        <w:t xml:space="preserve">, strengthens e-procurement, expands monitoring provisions, </w:t>
      </w:r>
      <w:r w:rsidRPr="00AF1AB8">
        <w:rPr>
          <w:rFonts w:ascii="Arial" w:hAnsi="Arial" w:cs="Arial"/>
          <w:sz w:val="20"/>
          <w:szCs w:val="20"/>
        </w:rPr>
        <w:t>establishes new institutional mechanisms and provides detailed rules on legal remedies.</w:t>
      </w:r>
      <w:r w:rsidRPr="00026E88">
        <w:rPr>
          <w:rFonts w:ascii="Arial" w:hAnsi="Arial" w:cs="Arial"/>
          <w:sz w:val="20"/>
          <w:szCs w:val="20"/>
        </w:rPr>
        <w:t xml:space="preserve"> </w:t>
      </w:r>
    </w:p>
    <w:p w14:paraId="67FCA60B" w14:textId="77777777" w:rsidR="008E40F6" w:rsidRPr="00026E88" w:rsidRDefault="008E40F6" w:rsidP="008E40F6">
      <w:pPr>
        <w:spacing w:before="120" w:after="120"/>
        <w:rPr>
          <w:rFonts w:ascii="Arial" w:hAnsi="Arial" w:cs="Arial"/>
          <w:sz w:val="20"/>
          <w:szCs w:val="20"/>
        </w:rPr>
      </w:pPr>
      <w:r w:rsidRPr="00026E88">
        <w:rPr>
          <w:rFonts w:ascii="Arial" w:hAnsi="Arial" w:cs="Arial"/>
          <w:sz w:val="20"/>
          <w:szCs w:val="20"/>
        </w:rPr>
        <w:t xml:space="preserve">However, the </w:t>
      </w:r>
      <w:r>
        <w:rPr>
          <w:rFonts w:ascii="Arial" w:hAnsi="Arial" w:cs="Arial"/>
          <w:sz w:val="20"/>
          <w:szCs w:val="20"/>
        </w:rPr>
        <w:t>assessment</w:t>
      </w:r>
      <w:r w:rsidRPr="00026E88">
        <w:rPr>
          <w:rFonts w:ascii="Arial" w:hAnsi="Arial" w:cs="Arial"/>
          <w:sz w:val="20"/>
          <w:szCs w:val="20"/>
        </w:rPr>
        <w:t xml:space="preserve"> identified several systemic, structural and legal challenges that require attention</w:t>
      </w:r>
      <w:r>
        <w:rPr>
          <w:rFonts w:ascii="Arial" w:hAnsi="Arial" w:cs="Arial"/>
          <w:sz w:val="20"/>
          <w:szCs w:val="20"/>
        </w:rPr>
        <w:t>.</w:t>
      </w:r>
    </w:p>
    <w:p w14:paraId="627AE5A9" w14:textId="77777777" w:rsidR="008E40F6" w:rsidRPr="00B34D74" w:rsidRDefault="008E40F6" w:rsidP="008E40F6">
      <w:pPr>
        <w:pStyle w:val="ListParagraph"/>
        <w:widowControl/>
        <w:numPr>
          <w:ilvl w:val="0"/>
          <w:numId w:val="1"/>
        </w:numPr>
        <w:spacing w:before="120" w:after="120"/>
        <w:ind w:left="425" w:hanging="425"/>
        <w:contextualSpacing w:val="0"/>
        <w:rPr>
          <w:rFonts w:ascii="Arial" w:hAnsi="Arial" w:cs="Arial"/>
          <w:sz w:val="20"/>
          <w:szCs w:val="20"/>
        </w:rPr>
      </w:pPr>
      <w:r w:rsidRPr="00B34D74">
        <w:rPr>
          <w:rFonts w:ascii="Arial" w:hAnsi="Arial" w:cs="Arial"/>
          <w:b/>
          <w:bCs/>
          <w:sz w:val="20"/>
          <w:szCs w:val="20"/>
        </w:rPr>
        <w:t>Over-regulation and excessive procedural complexity:</w:t>
      </w:r>
      <w:r w:rsidRPr="00B34D74">
        <w:rPr>
          <w:rFonts w:ascii="Arial" w:hAnsi="Arial" w:cs="Arial"/>
          <w:sz w:val="20"/>
          <w:szCs w:val="20"/>
        </w:rPr>
        <w:t xml:space="preserve"> The draft Law often goes far beyond what is normally regulated in primary legislation and incorporates, at the level of the law, what in most systems would be dealt with in by-laws, methodologies or internal administrative rules. This is particularly visible in the provisions on centralised procurement (Article 228), joint procurement (Article 230), procurement committees (Article 235), monitoring by the Public Procurement Agency (Articles 525–526) and the design of the competitive request procedure (Articles 408–456). These provisions regulate in detail internal workflows, the content of internal acts, templates and minutes, reporting formats and other operational aspects. Such legislative technique risks making the system rigid, difficult to adapt to technological or organisational change and unnecessarily complex for contracting authorities, especially smaller ones with limited capacity. A substantial part of this operational detail would be more appropriately moved to secondary legislation or non-binding guidance, while the primary law should retain the core principles and requirements.</w:t>
      </w:r>
    </w:p>
    <w:p w14:paraId="1FC9734A" w14:textId="77777777" w:rsidR="008E40F6" w:rsidRPr="00B34D74" w:rsidRDefault="008E40F6" w:rsidP="008E40F6">
      <w:pPr>
        <w:pStyle w:val="ListParagraph"/>
        <w:widowControl/>
        <w:numPr>
          <w:ilvl w:val="0"/>
          <w:numId w:val="1"/>
        </w:numPr>
        <w:spacing w:before="120" w:after="120"/>
        <w:ind w:left="425" w:hanging="425"/>
        <w:contextualSpacing w:val="0"/>
        <w:rPr>
          <w:rFonts w:ascii="Arial" w:hAnsi="Arial" w:cs="Arial"/>
          <w:sz w:val="20"/>
          <w:szCs w:val="20"/>
        </w:rPr>
      </w:pPr>
      <w:r w:rsidRPr="00B34D74">
        <w:rPr>
          <w:rFonts w:ascii="Arial" w:hAnsi="Arial" w:cs="Arial"/>
          <w:b/>
          <w:bCs/>
          <w:sz w:val="20"/>
          <w:szCs w:val="20"/>
        </w:rPr>
        <w:t>Institutional overreach and unclear responsibilities:</w:t>
      </w:r>
      <w:r w:rsidRPr="00B34D74">
        <w:rPr>
          <w:rFonts w:ascii="Arial" w:hAnsi="Arial" w:cs="Arial"/>
          <w:sz w:val="20"/>
          <w:szCs w:val="20"/>
        </w:rPr>
        <w:t xml:space="preserve"> Several provisions allocate to range of institutions roles that are either not compatible with their core mandates or that overlap with each other. Examples include ex ante performance audits and legislative approvals as preconditions for launching procedures and exclusions (Article 52), the requirement for prior approval of all contract modifications by audit offices (Article 337(5)), the parallel annulment and monitoring regime for excluded contracts and contract modifications (Articles 77 and 340) and the very detailed, monitoring powers of the PPA (Articles 524–526). In a number of cases, these mechanisms blur the distinction between ex ante control, ex post audit, regulatory guidance and the legally prescribed remedies system. They also risk creating conflicts of interest for audit institutions, which are asked both to approve decisions and later to audit them, contrary to INTOSAI standards. Overall, the cumulative effect is a fragmented and overlapping control environment that may generate uncertainty and administrative burden without a </w:t>
      </w:r>
      <w:r w:rsidRPr="00B34D74">
        <w:rPr>
          <w:rFonts w:ascii="Arial" w:hAnsi="Arial" w:cs="Arial"/>
          <w:sz w:val="20"/>
          <w:szCs w:val="20"/>
        </w:rPr>
        <w:lastRenderedPageBreak/>
        <w:t>corresponding gain in compliance or integrity.</w:t>
      </w:r>
      <w:r>
        <w:rPr>
          <w:rFonts w:ascii="Arial" w:hAnsi="Arial" w:cs="Arial"/>
          <w:sz w:val="20"/>
          <w:szCs w:val="20"/>
        </w:rPr>
        <w:t xml:space="preserve"> The provisions introducing new tasks for relevant institutions (for example Articles 530-532 about the role of the PPA in preparation and implementing of training and certification of procurement officers) should be carefully analysed from the perspective of the capacity and resources of the implementing institutions, to avoid creating obligations that will be problematic to implement.</w:t>
      </w:r>
    </w:p>
    <w:p w14:paraId="0E58B122" w14:textId="77777777" w:rsidR="008E40F6" w:rsidRPr="00B34D74" w:rsidRDefault="008E40F6" w:rsidP="008E40F6">
      <w:pPr>
        <w:pStyle w:val="ListParagraph"/>
        <w:widowControl/>
        <w:numPr>
          <w:ilvl w:val="0"/>
          <w:numId w:val="1"/>
        </w:numPr>
        <w:spacing w:before="120" w:after="120"/>
        <w:ind w:left="425" w:hanging="425"/>
        <w:contextualSpacing w:val="0"/>
        <w:rPr>
          <w:rFonts w:ascii="Arial" w:hAnsi="Arial" w:cs="Arial"/>
          <w:sz w:val="20"/>
          <w:szCs w:val="20"/>
        </w:rPr>
      </w:pPr>
      <w:r w:rsidRPr="00B34D74">
        <w:rPr>
          <w:rFonts w:ascii="Arial" w:hAnsi="Arial" w:cs="Arial"/>
          <w:b/>
          <w:bCs/>
          <w:sz w:val="20"/>
          <w:szCs w:val="20"/>
        </w:rPr>
        <w:t>Legal certainty, proportionality and coherence with the EU remedies framework:</w:t>
      </w:r>
      <w:r w:rsidRPr="00B34D74">
        <w:rPr>
          <w:rFonts w:ascii="Arial" w:hAnsi="Arial" w:cs="Arial"/>
          <w:sz w:val="20"/>
          <w:szCs w:val="20"/>
        </w:rPr>
        <w:t xml:space="preserve"> Provisions that declare procedures or contracts “void” or require annulment in very broad and unspecified circumstances (e.g. in connection with committee work, monitoring findings, contract modifications, or non-observance of internal organisational rules) are not accompanied by clear rules on competence, procedure, deadlines or legal consequences. They appear inconsistent with the framework established in Article 515 which correctly transposes the EU system of ineffectiveness and grants the Review Body exclusive competence to declare contracts ineffective in defined situations. Similarly, the automatic upholding of an appeal and mandatory cancellation of a procedure in case the Review Body fails to decide within 30 days (Article 517(2)) sanctions contracting authorities for delays entirely outside their control and may undermine legal certainty for both authorities and tenderers. Several mechanisms rely on very far-reaching consequences (nullity of procedures or contracts) for breaches of internal or formal requirements that do not necessarily affect competition, transparency or equal treatment, which is difficult to reconcile with the principles of proportionality and legal certainty under EU law.</w:t>
      </w:r>
    </w:p>
    <w:p w14:paraId="7B901142" w14:textId="77777777" w:rsidR="008E40F6" w:rsidRPr="00B34D74" w:rsidRDefault="008E40F6" w:rsidP="008E40F6">
      <w:pPr>
        <w:pStyle w:val="ListParagraph"/>
        <w:widowControl/>
        <w:numPr>
          <w:ilvl w:val="0"/>
          <w:numId w:val="1"/>
        </w:numPr>
        <w:spacing w:before="120" w:after="120"/>
        <w:ind w:left="425" w:hanging="425"/>
        <w:contextualSpacing w:val="0"/>
        <w:rPr>
          <w:rFonts w:ascii="Arial" w:hAnsi="Arial" w:cs="Arial"/>
          <w:sz w:val="20"/>
          <w:szCs w:val="20"/>
        </w:rPr>
      </w:pPr>
      <w:r w:rsidRPr="00B34D74">
        <w:rPr>
          <w:rFonts w:ascii="Arial" w:hAnsi="Arial" w:cs="Arial"/>
          <w:b/>
          <w:bCs/>
          <w:sz w:val="20"/>
          <w:szCs w:val="20"/>
        </w:rPr>
        <w:t>Extensive and disproportionate</w:t>
      </w:r>
      <w:r w:rsidRPr="00B34D74">
        <w:rPr>
          <w:rFonts w:ascii="Arial" w:hAnsi="Arial" w:cs="Arial"/>
          <w:sz w:val="20"/>
          <w:szCs w:val="20"/>
        </w:rPr>
        <w:t xml:space="preserve"> </w:t>
      </w:r>
      <w:r w:rsidRPr="00B34D74">
        <w:rPr>
          <w:rFonts w:ascii="Arial" w:hAnsi="Arial" w:cs="Arial"/>
          <w:b/>
          <w:bCs/>
          <w:sz w:val="20"/>
          <w:szCs w:val="20"/>
        </w:rPr>
        <w:t>regime of misdemeanours and criminal offences:</w:t>
      </w:r>
      <w:r w:rsidRPr="00B34D74">
        <w:rPr>
          <w:rFonts w:ascii="Arial" w:hAnsi="Arial" w:cs="Arial"/>
          <w:sz w:val="20"/>
          <w:szCs w:val="20"/>
        </w:rPr>
        <w:t xml:space="preserve"> A very wide range of behaviours, including numerous formal and procedural shortcomings, are sanctioned with high fines for both institutions and individuals (Articles 536–540), while at the same time a number of the same behaviours are also defined as criminal offences (Articles 541–543). This overlap between misdemeanour and criminal provisions blurs the boundary between administrative and criminal liability and risks double proceedings for the same factual conduct. The scope and severity of sanctions may have a chilling effect on public officials, incentivising defensive, overly formalistic behaviour and making procurement roles less attractive, without clear evidence that they would significantly improve integrity or value for money. </w:t>
      </w:r>
    </w:p>
    <w:p w14:paraId="60F2FBBF" w14:textId="77777777" w:rsidR="008E40F6" w:rsidRDefault="008E40F6" w:rsidP="008E40F6">
      <w:pPr>
        <w:spacing w:before="120" w:after="120"/>
        <w:rPr>
          <w:rFonts w:ascii="Arial" w:hAnsi="Arial" w:cs="Arial"/>
          <w:sz w:val="20"/>
          <w:szCs w:val="20"/>
        </w:rPr>
      </w:pPr>
      <w:r w:rsidRPr="00E70CA4">
        <w:rPr>
          <w:rFonts w:ascii="Arial" w:hAnsi="Arial" w:cs="Arial"/>
          <w:sz w:val="20"/>
          <w:szCs w:val="20"/>
        </w:rPr>
        <w:t xml:space="preserve">In conclusion, while the draft Law constitutes a major step towards full alignment with the EU procurement directives, it would benefit from targeted but substantial </w:t>
      </w:r>
      <w:r>
        <w:rPr>
          <w:rFonts w:ascii="Arial" w:hAnsi="Arial" w:cs="Arial"/>
          <w:sz w:val="20"/>
          <w:szCs w:val="20"/>
        </w:rPr>
        <w:t>revision</w:t>
      </w:r>
      <w:r w:rsidRPr="00E70CA4">
        <w:rPr>
          <w:rFonts w:ascii="Arial" w:hAnsi="Arial" w:cs="Arial"/>
          <w:sz w:val="20"/>
          <w:szCs w:val="20"/>
        </w:rPr>
        <w:t xml:space="preserve"> in order to avoid over-regulation, ensure a clear and balanced institutional architecture, safeguard legal certainty and proportionality and create a procurement system that is not only compliant on paper but also practicable and sustainable in the day-to-day operation of contracting authorities and economic operators.</w:t>
      </w:r>
    </w:p>
    <w:p w14:paraId="64B0C871" w14:textId="77777777" w:rsidR="008E40F6" w:rsidRPr="00E70CA4" w:rsidRDefault="008E40F6" w:rsidP="008E40F6">
      <w:pPr>
        <w:spacing w:before="120" w:after="120"/>
        <w:rPr>
          <w:rFonts w:ascii="Arial" w:hAnsi="Arial" w:cs="Arial"/>
          <w:sz w:val="20"/>
          <w:szCs w:val="20"/>
        </w:rPr>
      </w:pPr>
      <w:r w:rsidRPr="00852DCA">
        <w:rPr>
          <w:rFonts w:ascii="Arial" w:hAnsi="Arial" w:cs="Arial"/>
          <w:sz w:val="20"/>
          <w:szCs w:val="20"/>
        </w:rPr>
        <w:t xml:space="preserve">Readers are invited to consult the detailed comments inserted in the margins of the draft Law, which complement this </w:t>
      </w:r>
      <w:r>
        <w:rPr>
          <w:rFonts w:ascii="Arial" w:hAnsi="Arial" w:cs="Arial"/>
          <w:sz w:val="20"/>
          <w:szCs w:val="20"/>
        </w:rPr>
        <w:t>Opinion</w:t>
      </w:r>
      <w:r w:rsidRPr="00852DCA">
        <w:rPr>
          <w:rFonts w:ascii="Arial" w:hAnsi="Arial" w:cs="Arial"/>
          <w:sz w:val="20"/>
          <w:szCs w:val="20"/>
        </w:rPr>
        <w:t xml:space="preserve"> and include additional technical observations not covered in the present document.</w:t>
      </w:r>
    </w:p>
    <w:p w14:paraId="6D069321" w14:textId="77777777" w:rsidR="008E40F6" w:rsidRDefault="008E40F6" w:rsidP="008E40F6">
      <w:pPr>
        <w:pStyle w:val="Title2"/>
        <w:jc w:val="both"/>
      </w:pPr>
      <w:r>
        <w:t>SIGMA commentary</w:t>
      </w:r>
    </w:p>
    <w:p w14:paraId="30475166" w14:textId="77777777" w:rsidR="008E40F6" w:rsidRPr="00FE6316" w:rsidRDefault="008E40F6" w:rsidP="008E40F6">
      <w:pPr>
        <w:pStyle w:val="Title3"/>
        <w:jc w:val="both"/>
      </w:pPr>
      <w:r>
        <w:t>Background and context</w:t>
      </w:r>
    </w:p>
    <w:p w14:paraId="3B0A8C00" w14:textId="77777777" w:rsidR="008E40F6" w:rsidRPr="00707D84" w:rsidRDefault="008E40F6" w:rsidP="008E40F6">
      <w:pPr>
        <w:spacing w:before="120" w:after="120"/>
        <w:rPr>
          <w:rFonts w:ascii="Arial" w:hAnsi="Arial" w:cs="Arial"/>
          <w:sz w:val="20"/>
          <w:szCs w:val="20"/>
        </w:rPr>
      </w:pPr>
      <w:r w:rsidRPr="00707D84">
        <w:rPr>
          <w:rFonts w:ascii="Arial" w:hAnsi="Arial" w:cs="Arial"/>
          <w:sz w:val="20"/>
          <w:szCs w:val="20"/>
        </w:rPr>
        <w:t>On 5 November 2025, the Public Procurement Agency (PPA) requested SIGMA to review and comment on the draft Law</w:t>
      </w:r>
      <w:r>
        <w:rPr>
          <w:rFonts w:ascii="Arial" w:hAnsi="Arial" w:cs="Arial"/>
          <w:sz w:val="20"/>
          <w:szCs w:val="20"/>
        </w:rPr>
        <w:t xml:space="preserve"> on Public Procurement </w:t>
      </w:r>
      <w:r w:rsidRPr="00193BF6">
        <w:rPr>
          <w:rFonts w:ascii="Arial" w:hAnsi="Arial" w:cs="Arial"/>
          <w:sz w:val="20"/>
          <w:szCs w:val="20"/>
        </w:rPr>
        <w:t>(the draft Law)</w:t>
      </w:r>
      <w:r w:rsidRPr="00707D84">
        <w:rPr>
          <w:rFonts w:ascii="Arial" w:hAnsi="Arial" w:cs="Arial"/>
          <w:sz w:val="20"/>
          <w:szCs w:val="20"/>
        </w:rPr>
        <w:t>. On 12 November 2025, the PPA published the draft Law, accompanied by an explanatory memorandum (“Osvrt na pojedina relevantna rješenja u novom Zakonu o javnim nabavkama”), and launched a 30-day public consultation through the e-Konsultacije platform.</w:t>
      </w:r>
    </w:p>
    <w:p w14:paraId="1EA99C97" w14:textId="77777777" w:rsidR="008E40F6" w:rsidRPr="00707D84" w:rsidRDefault="008E40F6" w:rsidP="008E40F6">
      <w:pPr>
        <w:spacing w:before="120" w:after="120"/>
        <w:rPr>
          <w:rFonts w:ascii="Arial" w:hAnsi="Arial" w:cs="Arial"/>
          <w:sz w:val="20"/>
          <w:szCs w:val="20"/>
        </w:rPr>
      </w:pPr>
      <w:r w:rsidRPr="00707D84">
        <w:rPr>
          <w:rFonts w:ascii="Arial" w:hAnsi="Arial" w:cs="Arial"/>
          <w:sz w:val="20"/>
          <w:szCs w:val="20"/>
        </w:rPr>
        <w:t>This document presents SIGMA’s assessment of the draft</w:t>
      </w:r>
      <w:r>
        <w:rPr>
          <w:rFonts w:ascii="Arial" w:hAnsi="Arial" w:cs="Arial"/>
          <w:sz w:val="20"/>
          <w:szCs w:val="20"/>
        </w:rPr>
        <w:t xml:space="preserve"> Law</w:t>
      </w:r>
      <w:r w:rsidRPr="00707D84">
        <w:rPr>
          <w:rFonts w:ascii="Arial" w:hAnsi="Arial" w:cs="Arial"/>
          <w:sz w:val="20"/>
          <w:szCs w:val="20"/>
        </w:rPr>
        <w:t>. Readers are also invited to consult the comments inserted directly in the margins of the draft Law, which complement this Opinion and include additional technical observations not addressed here.</w:t>
      </w:r>
    </w:p>
    <w:p w14:paraId="6BE9165C" w14:textId="77777777" w:rsidR="008E40F6" w:rsidRPr="00707D84" w:rsidRDefault="008E40F6" w:rsidP="008E40F6">
      <w:pPr>
        <w:spacing w:before="120" w:after="120"/>
        <w:rPr>
          <w:rFonts w:ascii="Arial" w:hAnsi="Arial" w:cs="Arial"/>
          <w:sz w:val="20"/>
          <w:szCs w:val="20"/>
        </w:rPr>
      </w:pPr>
      <w:r w:rsidRPr="00707D84">
        <w:rPr>
          <w:rFonts w:ascii="Arial" w:hAnsi="Arial" w:cs="Arial"/>
          <w:sz w:val="20"/>
          <w:szCs w:val="20"/>
        </w:rPr>
        <w:t>According to the PPA, several rounds of consultations were held with stakeholders. However, these consultations were based on an earlier version of the draft Law that differs substantially from the text now published. As a result, there is a significant gap between the document previously shared</w:t>
      </w:r>
      <w:r>
        <w:rPr>
          <w:rFonts w:ascii="Arial" w:hAnsi="Arial" w:cs="Arial"/>
          <w:sz w:val="20"/>
          <w:szCs w:val="20"/>
        </w:rPr>
        <w:t xml:space="preserve">, </w:t>
      </w:r>
      <w:r w:rsidRPr="00707D84">
        <w:rPr>
          <w:rFonts w:ascii="Arial" w:hAnsi="Arial" w:cs="Arial"/>
          <w:sz w:val="20"/>
          <w:szCs w:val="20"/>
        </w:rPr>
        <w:t xml:space="preserve">including the </w:t>
      </w:r>
      <w:r w:rsidRPr="00707D84">
        <w:rPr>
          <w:rFonts w:ascii="Arial" w:hAnsi="Arial" w:cs="Arial"/>
          <w:sz w:val="20"/>
          <w:szCs w:val="20"/>
        </w:rPr>
        <w:lastRenderedPageBreak/>
        <w:t>version reviewed by SIGMA in May 2025</w:t>
      </w:r>
      <w:r>
        <w:rPr>
          <w:rFonts w:ascii="Arial" w:hAnsi="Arial" w:cs="Arial"/>
          <w:sz w:val="20"/>
          <w:szCs w:val="20"/>
        </w:rPr>
        <w:t xml:space="preserve">, </w:t>
      </w:r>
      <w:r w:rsidRPr="00707D84">
        <w:rPr>
          <w:rFonts w:ascii="Arial" w:hAnsi="Arial" w:cs="Arial"/>
          <w:sz w:val="20"/>
          <w:szCs w:val="20"/>
        </w:rPr>
        <w:t>and the current draft. The scope and outcomes of the consultation process are not clearly documented, and there is no public record indicating how comments were reflected in the final text. This reduces the transparency of the legislative preparation process.</w:t>
      </w:r>
    </w:p>
    <w:p w14:paraId="680BA887" w14:textId="77777777" w:rsidR="008E40F6" w:rsidRPr="00707D84" w:rsidRDefault="008E40F6" w:rsidP="008E40F6">
      <w:pPr>
        <w:spacing w:before="120" w:after="120"/>
        <w:rPr>
          <w:rFonts w:ascii="Arial" w:hAnsi="Arial" w:cs="Arial"/>
          <w:sz w:val="20"/>
          <w:szCs w:val="20"/>
        </w:rPr>
      </w:pPr>
      <w:r w:rsidRPr="00707D84">
        <w:rPr>
          <w:rFonts w:ascii="Arial" w:hAnsi="Arial" w:cs="Arial"/>
          <w:sz w:val="20"/>
          <w:szCs w:val="20"/>
        </w:rPr>
        <w:t>The PPA has announced its intention to submit the draft Law to the Council of Ministers by the end of 2025.</w:t>
      </w:r>
    </w:p>
    <w:p w14:paraId="224D2C78" w14:textId="77777777" w:rsidR="008E40F6" w:rsidRDefault="008E40F6" w:rsidP="008E40F6">
      <w:pPr>
        <w:pStyle w:val="Title3"/>
        <w:jc w:val="both"/>
      </w:pPr>
      <w:r>
        <w:t>Procedural checks</w:t>
      </w:r>
    </w:p>
    <w:p w14:paraId="05AFC0E1" w14:textId="77777777" w:rsidR="008E40F6" w:rsidRDefault="008E40F6" w:rsidP="008E40F6">
      <w:pPr>
        <w:spacing w:before="120" w:after="120"/>
        <w:rPr>
          <w:rFonts w:ascii="Arial" w:hAnsi="Arial" w:cs="Arial"/>
          <w:sz w:val="20"/>
          <w:szCs w:val="20"/>
        </w:rPr>
      </w:pPr>
      <w:r w:rsidRPr="00026E88">
        <w:rPr>
          <w:rFonts w:ascii="Arial" w:hAnsi="Arial" w:cs="Arial"/>
          <w:sz w:val="20"/>
          <w:szCs w:val="20"/>
        </w:rPr>
        <w:t>The draft Law was published for e-consultations, which is a positive step. However</w:t>
      </w:r>
      <w:r w:rsidRPr="00287512">
        <w:rPr>
          <w:rFonts w:ascii="Arial" w:hAnsi="Arial" w:cs="Arial"/>
          <w:sz w:val="20"/>
          <w:szCs w:val="20"/>
        </w:rPr>
        <w:t xml:space="preserve">, there is no evidence that a full Regulatory Impact Assessment (RIA) has been conducted. </w:t>
      </w:r>
    </w:p>
    <w:p w14:paraId="42871D94" w14:textId="77777777" w:rsidR="008E40F6" w:rsidRDefault="008E40F6" w:rsidP="008E40F6">
      <w:pPr>
        <w:spacing w:before="120" w:after="120"/>
        <w:rPr>
          <w:rFonts w:ascii="Arial" w:hAnsi="Arial" w:cs="Arial"/>
          <w:sz w:val="20"/>
          <w:szCs w:val="20"/>
        </w:rPr>
      </w:pPr>
      <w:r w:rsidRPr="00F64D8A">
        <w:rPr>
          <w:rFonts w:ascii="Arial" w:hAnsi="Arial" w:cs="Arial"/>
          <w:sz w:val="20"/>
          <w:szCs w:val="20"/>
        </w:rPr>
        <w:t xml:space="preserve">The draft proposes extensive new </w:t>
      </w:r>
      <w:r w:rsidRPr="00026E88">
        <w:rPr>
          <w:rFonts w:ascii="Arial" w:hAnsi="Arial" w:cs="Arial"/>
          <w:sz w:val="20"/>
          <w:szCs w:val="20"/>
        </w:rPr>
        <w:t>institutional or procedural mechanisms</w:t>
      </w:r>
      <w:r w:rsidRPr="00F64D8A">
        <w:rPr>
          <w:rFonts w:ascii="Arial" w:hAnsi="Arial" w:cs="Arial"/>
          <w:sz w:val="20"/>
          <w:szCs w:val="20"/>
        </w:rPr>
        <w:t xml:space="preserve">, including broad monitoring responsibilities, expansion of the electronic procurement system, administration of asset declarations and increased involvement of audit institutions. It also places additional obligations on contracting authorities across all stages of procurement. </w:t>
      </w:r>
      <w:r w:rsidRPr="00026E88">
        <w:rPr>
          <w:rFonts w:ascii="Arial" w:hAnsi="Arial" w:cs="Arial"/>
          <w:sz w:val="20"/>
          <w:szCs w:val="20"/>
        </w:rPr>
        <w:t>The explanatory memorandum provides useful insights into the intentions behind several provisions</w:t>
      </w:r>
      <w:r>
        <w:rPr>
          <w:rFonts w:ascii="Arial" w:hAnsi="Arial" w:cs="Arial"/>
          <w:sz w:val="20"/>
          <w:szCs w:val="20"/>
        </w:rPr>
        <w:t xml:space="preserve"> in the draft Law</w:t>
      </w:r>
      <w:r w:rsidRPr="00026E88">
        <w:rPr>
          <w:rFonts w:ascii="Arial" w:hAnsi="Arial" w:cs="Arial"/>
          <w:sz w:val="20"/>
          <w:szCs w:val="20"/>
        </w:rPr>
        <w:t>. However, in many cases, the explanations do not fully justify the chosen solutions</w:t>
      </w:r>
      <w:r>
        <w:rPr>
          <w:rFonts w:ascii="Arial" w:hAnsi="Arial" w:cs="Arial"/>
          <w:sz w:val="20"/>
          <w:szCs w:val="20"/>
        </w:rPr>
        <w:t>.</w:t>
      </w:r>
      <w:r w:rsidRPr="00287512">
        <w:rPr>
          <w:rFonts w:ascii="Arial" w:hAnsi="Arial" w:cs="Arial"/>
          <w:sz w:val="20"/>
          <w:szCs w:val="20"/>
        </w:rPr>
        <w:t xml:space="preserve"> In the absence of a published RIA, t</w:t>
      </w:r>
      <w:r w:rsidRPr="00026E88">
        <w:rPr>
          <w:rFonts w:ascii="Arial" w:hAnsi="Arial" w:cs="Arial"/>
          <w:sz w:val="20"/>
          <w:szCs w:val="20"/>
        </w:rPr>
        <w:t xml:space="preserve">here is no evidence of analysis regarding </w:t>
      </w:r>
      <w:r w:rsidRPr="00F64D8A">
        <w:rPr>
          <w:rFonts w:ascii="Arial" w:hAnsi="Arial" w:cs="Arial"/>
          <w:sz w:val="20"/>
          <w:szCs w:val="20"/>
        </w:rPr>
        <w:t>financial and human resource implications of these reforms and there is no indication that these additional responsibilities have been budgeted for or that the necessary capacities exist within the institutions concerned.</w:t>
      </w:r>
    </w:p>
    <w:p w14:paraId="54868630" w14:textId="77777777" w:rsidR="008E40F6" w:rsidRPr="00026E88" w:rsidRDefault="008E40F6" w:rsidP="008E40F6">
      <w:pPr>
        <w:spacing w:before="120" w:after="120"/>
        <w:rPr>
          <w:rFonts w:ascii="Arial" w:hAnsi="Arial" w:cs="Arial"/>
          <w:sz w:val="20"/>
          <w:szCs w:val="20"/>
        </w:rPr>
      </w:pPr>
      <w:r w:rsidRPr="00026E88">
        <w:rPr>
          <w:rFonts w:ascii="Arial" w:hAnsi="Arial" w:cs="Arial"/>
          <w:sz w:val="20"/>
          <w:szCs w:val="20"/>
        </w:rPr>
        <w:t>These shortcomings affect the predictability and quality of the draft and risk undermining future implementation.</w:t>
      </w:r>
    </w:p>
    <w:p w14:paraId="47D6CDF5" w14:textId="77777777" w:rsidR="008E40F6" w:rsidRDefault="008E40F6" w:rsidP="008E40F6">
      <w:pPr>
        <w:pStyle w:val="Title3"/>
        <w:jc w:val="both"/>
      </w:pPr>
      <w:r>
        <w:t>Substantive checks</w:t>
      </w:r>
    </w:p>
    <w:p w14:paraId="16A806C6" w14:textId="77777777" w:rsidR="008E40F6" w:rsidRDefault="008E40F6" w:rsidP="008E40F6">
      <w:pPr>
        <w:pStyle w:val="Heading4"/>
      </w:pPr>
      <w:r>
        <w:t>General comments</w:t>
      </w:r>
    </w:p>
    <w:p w14:paraId="47189A71" w14:textId="77777777" w:rsidR="008E40F6" w:rsidRPr="00CB2E6A" w:rsidRDefault="008E40F6" w:rsidP="008E40F6">
      <w:pPr>
        <w:spacing w:before="120" w:after="120"/>
        <w:rPr>
          <w:rFonts w:ascii="Arial" w:hAnsi="Arial" w:cs="Arial"/>
          <w:sz w:val="20"/>
          <w:szCs w:val="20"/>
        </w:rPr>
      </w:pPr>
      <w:r w:rsidRPr="00CB2E6A">
        <w:rPr>
          <w:rFonts w:ascii="Arial" w:hAnsi="Arial" w:cs="Arial"/>
          <w:sz w:val="20"/>
          <w:szCs w:val="20"/>
        </w:rPr>
        <w:t>The draft Law is an ambitious and comprehensive reform effort aimed at full alignment with the EU public procurement acquis, strengthening transparency and integrity and supporting the transition to a fully digital procurement system. These objectives are legitimate and consistent with broader public administration reforms in Bosnia and Herzegovina.</w:t>
      </w:r>
    </w:p>
    <w:p w14:paraId="15E9C9F4" w14:textId="77777777" w:rsidR="008E40F6" w:rsidRPr="0090273E" w:rsidRDefault="008E40F6" w:rsidP="008E40F6">
      <w:pPr>
        <w:spacing w:before="120" w:after="120"/>
        <w:rPr>
          <w:rFonts w:ascii="Arial" w:hAnsi="Arial" w:cs="Arial"/>
          <w:sz w:val="20"/>
          <w:szCs w:val="20"/>
        </w:rPr>
      </w:pPr>
      <w:r w:rsidRPr="00CB2E6A">
        <w:rPr>
          <w:rFonts w:ascii="Arial" w:hAnsi="Arial" w:cs="Arial"/>
          <w:sz w:val="20"/>
          <w:szCs w:val="20"/>
        </w:rPr>
        <w:t xml:space="preserve">However, SIGMA’s assessment identifies </w:t>
      </w:r>
      <w:r w:rsidRPr="0090273E">
        <w:rPr>
          <w:rFonts w:ascii="Arial" w:hAnsi="Arial" w:cs="Arial"/>
          <w:sz w:val="20"/>
          <w:szCs w:val="20"/>
        </w:rPr>
        <w:t>several systemic</w:t>
      </w:r>
      <w:r w:rsidRPr="00CB2E6A">
        <w:rPr>
          <w:rFonts w:ascii="Arial" w:hAnsi="Arial" w:cs="Arial"/>
          <w:sz w:val="20"/>
          <w:szCs w:val="20"/>
        </w:rPr>
        <w:t xml:space="preserve"> issues that, if unaddressed, may undermine the effectiveness and practicality of the future framework. These issues do not concern transposition gaps alone, but the overall regulatory design and institutional balance of the draft Law.</w:t>
      </w:r>
      <w:r w:rsidRPr="0090273E">
        <w:rPr>
          <w:rFonts w:ascii="Arial" w:hAnsi="Arial" w:cs="Arial"/>
          <w:sz w:val="20"/>
          <w:szCs w:val="20"/>
        </w:rPr>
        <w:t xml:space="preserve"> Formal alignment with the acquis, on its own, is not sufficient to ensure an effective, proportionate and well-functioning procurement system. </w:t>
      </w:r>
    </w:p>
    <w:p w14:paraId="44F55481" w14:textId="77777777" w:rsidR="008E40F6" w:rsidRPr="00CB2E6A" w:rsidRDefault="008E40F6" w:rsidP="008E40F6">
      <w:pPr>
        <w:spacing w:before="120" w:after="120"/>
        <w:rPr>
          <w:rFonts w:ascii="Arial" w:hAnsi="Arial" w:cs="Arial"/>
          <w:sz w:val="20"/>
          <w:szCs w:val="20"/>
        </w:rPr>
      </w:pPr>
      <w:r w:rsidRPr="0090273E">
        <w:rPr>
          <w:rFonts w:ascii="Arial" w:hAnsi="Arial" w:cs="Arial"/>
          <w:sz w:val="20"/>
          <w:szCs w:val="20"/>
        </w:rPr>
        <w:t>First, the draft exhibits a high degree of over-regulation and procedural complexity. Numerous detailed operational requirements, such as internal workflows, templates, reporting formats and committee procedures, are set out directly in primary legislation. Embedding such administrative detail at the legislative level risks creating a rigid system that is difficult to adapt to organisational or technological developments, burdens contracting authorities with extensive procedural steps, and increases the likelihood of technical errors.</w:t>
      </w:r>
    </w:p>
    <w:p w14:paraId="12B7C1EA" w14:textId="77777777" w:rsidR="008E40F6" w:rsidRPr="00CB2E6A" w:rsidRDefault="008E40F6" w:rsidP="008E40F6">
      <w:pPr>
        <w:spacing w:before="120" w:after="120"/>
        <w:rPr>
          <w:rFonts w:ascii="Arial" w:hAnsi="Arial" w:cs="Arial"/>
          <w:sz w:val="20"/>
          <w:szCs w:val="20"/>
        </w:rPr>
      </w:pPr>
      <w:r w:rsidRPr="0090273E">
        <w:rPr>
          <w:rFonts w:ascii="Arial" w:hAnsi="Arial" w:cs="Arial"/>
          <w:sz w:val="20"/>
          <w:szCs w:val="20"/>
        </w:rPr>
        <w:t>Second, the draft introduces an institutional architecture that is both complex and imbalanced. Several institutions are assigned roles that do not correspond to their core mandates. In some cases, bodies responsible for ex post oversight are drawn into ex ante approval or supervisory functions. This blurring of roles risks creating conflicts of interest, undermining internal controls, generating parallel lines of oversight and complicating accountability across the procurement cycle.</w:t>
      </w:r>
    </w:p>
    <w:p w14:paraId="2E96FAD0" w14:textId="77777777" w:rsidR="008E40F6" w:rsidRPr="00CB2E6A" w:rsidRDefault="008E40F6" w:rsidP="008E40F6">
      <w:pPr>
        <w:spacing w:before="120" w:after="120"/>
        <w:rPr>
          <w:rFonts w:ascii="Arial" w:hAnsi="Arial" w:cs="Arial"/>
          <w:sz w:val="20"/>
          <w:szCs w:val="20"/>
        </w:rPr>
      </w:pPr>
      <w:r w:rsidRPr="0090273E">
        <w:rPr>
          <w:rFonts w:ascii="Arial" w:hAnsi="Arial" w:cs="Arial"/>
          <w:sz w:val="20"/>
          <w:szCs w:val="20"/>
        </w:rPr>
        <w:t xml:space="preserve">Third, certain mechanisms raise concerns regarding legal certainty, proportionality and coherence with the remedies framework. Provisions that introduce far-reaching consequences, such as treating procedures or contracts as “void” or mandating annulment, are not accompanied by clear procedural rules, competent authorities or safeguards. Other provisions impose automatic cancellations of procurement procedures for delays beyond the control of contracting authorities. </w:t>
      </w:r>
    </w:p>
    <w:p w14:paraId="7120B801" w14:textId="77777777" w:rsidR="008E40F6" w:rsidRPr="00CB2E6A" w:rsidRDefault="008E40F6" w:rsidP="008E40F6">
      <w:pPr>
        <w:spacing w:before="120" w:after="120"/>
        <w:rPr>
          <w:rFonts w:ascii="Arial" w:hAnsi="Arial" w:cs="Arial"/>
          <w:sz w:val="20"/>
          <w:szCs w:val="20"/>
        </w:rPr>
      </w:pPr>
      <w:r w:rsidRPr="0090273E">
        <w:rPr>
          <w:rFonts w:ascii="Arial" w:hAnsi="Arial" w:cs="Arial"/>
          <w:sz w:val="20"/>
          <w:szCs w:val="20"/>
        </w:rPr>
        <w:t xml:space="preserve">Finally, the regime of misdemeanours and criminal offences is extensive and highly punitive. A wide range of procedural or formal shortcomings are treated as offences, combined with significant penalties. At the </w:t>
      </w:r>
      <w:r w:rsidRPr="0090273E">
        <w:rPr>
          <w:rFonts w:ascii="Arial" w:hAnsi="Arial" w:cs="Arial"/>
          <w:sz w:val="20"/>
          <w:szCs w:val="20"/>
        </w:rPr>
        <w:lastRenderedPageBreak/>
        <w:t>same time, some behaviours appear to fall under both misdemeanour and criminal categories, blurring the distinction between administrative and criminal liability. This design risks encouraging overly defensive behaviour among officials, slowing procedures and increasing administrative burden, without clear evidence that it would lead to better integrity outcomes.</w:t>
      </w:r>
    </w:p>
    <w:p w14:paraId="0F3FF248" w14:textId="77777777" w:rsidR="008E40F6" w:rsidRPr="00CB2E6A" w:rsidRDefault="008E40F6" w:rsidP="008E40F6">
      <w:pPr>
        <w:spacing w:before="120" w:after="120"/>
        <w:rPr>
          <w:rFonts w:ascii="Arial" w:hAnsi="Arial" w:cs="Arial"/>
          <w:sz w:val="20"/>
          <w:szCs w:val="20"/>
        </w:rPr>
      </w:pPr>
      <w:r w:rsidRPr="00CB2E6A">
        <w:rPr>
          <w:rFonts w:ascii="Arial" w:hAnsi="Arial" w:cs="Arial"/>
          <w:sz w:val="20"/>
          <w:szCs w:val="20"/>
        </w:rPr>
        <w:t>These overarching observations frame the more detailed article-by-article comments that follow.</w:t>
      </w:r>
    </w:p>
    <w:p w14:paraId="233E67A2" w14:textId="77777777" w:rsidR="008E40F6" w:rsidRDefault="008E40F6" w:rsidP="008E40F6">
      <w:pPr>
        <w:pStyle w:val="Heading4"/>
      </w:pPr>
      <w:r>
        <w:t>Specific comments</w:t>
      </w:r>
    </w:p>
    <w:p w14:paraId="2C1A8386" w14:textId="77777777" w:rsidR="008E40F6" w:rsidRPr="00DE2A1E" w:rsidRDefault="008E40F6" w:rsidP="008E40F6">
      <w:pPr>
        <w:spacing w:before="120" w:after="120"/>
        <w:rPr>
          <w:rFonts w:ascii="Arial" w:hAnsi="Arial" w:cs="Arial"/>
          <w:sz w:val="20"/>
          <w:szCs w:val="20"/>
        </w:rPr>
      </w:pPr>
      <w:r>
        <w:rPr>
          <w:rFonts w:ascii="Arial" w:hAnsi="Arial" w:cs="Arial"/>
          <w:sz w:val="20"/>
          <w:szCs w:val="20"/>
        </w:rPr>
        <w:t>T</w:t>
      </w:r>
      <w:r w:rsidRPr="00645538">
        <w:rPr>
          <w:rFonts w:ascii="Arial" w:hAnsi="Arial" w:cs="Arial"/>
          <w:sz w:val="20"/>
          <w:szCs w:val="20"/>
        </w:rPr>
        <w:t xml:space="preserve">he </w:t>
      </w:r>
      <w:r>
        <w:rPr>
          <w:rFonts w:ascii="Arial" w:hAnsi="Arial" w:cs="Arial"/>
          <w:sz w:val="20"/>
          <w:szCs w:val="20"/>
        </w:rPr>
        <w:t>draft Law</w:t>
      </w:r>
      <w:r w:rsidRPr="00645538">
        <w:rPr>
          <w:rFonts w:ascii="Arial" w:hAnsi="Arial" w:cs="Arial"/>
          <w:sz w:val="20"/>
          <w:szCs w:val="20"/>
        </w:rPr>
        <w:t xml:space="preserve"> represent</w:t>
      </w:r>
      <w:r>
        <w:rPr>
          <w:rFonts w:ascii="Arial" w:hAnsi="Arial" w:cs="Arial"/>
          <w:sz w:val="20"/>
          <w:szCs w:val="20"/>
        </w:rPr>
        <w:t>s</w:t>
      </w:r>
      <w:r w:rsidRPr="00645538">
        <w:rPr>
          <w:rFonts w:ascii="Arial" w:hAnsi="Arial" w:cs="Arial"/>
          <w:sz w:val="20"/>
          <w:szCs w:val="20"/>
        </w:rPr>
        <w:t xml:space="preserve"> almost complete transposition of </w:t>
      </w:r>
      <w:r>
        <w:rPr>
          <w:rFonts w:ascii="Arial" w:hAnsi="Arial" w:cs="Arial"/>
          <w:sz w:val="20"/>
          <w:szCs w:val="20"/>
        </w:rPr>
        <w:t>the EU procurement</w:t>
      </w:r>
      <w:r w:rsidRPr="00645538">
        <w:rPr>
          <w:rFonts w:ascii="Arial" w:hAnsi="Arial" w:cs="Arial"/>
          <w:sz w:val="20"/>
          <w:szCs w:val="20"/>
        </w:rPr>
        <w:t xml:space="preserve"> directives and significantly improve</w:t>
      </w:r>
      <w:r>
        <w:rPr>
          <w:rFonts w:ascii="Arial" w:hAnsi="Arial" w:cs="Arial"/>
          <w:sz w:val="20"/>
          <w:szCs w:val="20"/>
        </w:rPr>
        <w:t>s</w:t>
      </w:r>
      <w:r w:rsidRPr="00645538">
        <w:rPr>
          <w:rFonts w:ascii="Arial" w:hAnsi="Arial" w:cs="Arial"/>
          <w:sz w:val="20"/>
          <w:szCs w:val="20"/>
        </w:rPr>
        <w:t xml:space="preserve"> the level of compliance of the BiH provisions with the EU requirements.</w:t>
      </w:r>
      <w:r w:rsidRPr="00FB5FC1">
        <w:rPr>
          <w:rFonts w:ascii="Arial" w:hAnsi="Arial" w:cs="Arial"/>
          <w:sz w:val="20"/>
          <w:szCs w:val="20"/>
        </w:rPr>
        <w:t xml:space="preserve"> </w:t>
      </w:r>
      <w:r w:rsidRPr="006433E9">
        <w:rPr>
          <w:rFonts w:ascii="Arial" w:hAnsi="Arial" w:cs="Arial"/>
          <w:sz w:val="20"/>
          <w:szCs w:val="20"/>
        </w:rPr>
        <w:t>Nevertheless, a limited number of provisions remain either omitted or only partially or incorrectly transposed. These gaps and misalignments</w:t>
      </w:r>
      <w:r>
        <w:rPr>
          <w:rFonts w:ascii="Arial" w:hAnsi="Arial" w:cs="Arial"/>
          <w:sz w:val="20"/>
          <w:szCs w:val="20"/>
        </w:rPr>
        <w:t xml:space="preserve"> are </w:t>
      </w:r>
      <w:r w:rsidRPr="006433E9">
        <w:rPr>
          <w:rFonts w:ascii="Arial" w:hAnsi="Arial" w:cs="Arial"/>
          <w:sz w:val="20"/>
          <w:szCs w:val="20"/>
        </w:rPr>
        <w:t xml:space="preserve">summarised in the </w:t>
      </w:r>
      <w:r>
        <w:rPr>
          <w:rFonts w:ascii="Arial" w:hAnsi="Arial" w:cs="Arial"/>
          <w:sz w:val="20"/>
          <w:szCs w:val="20"/>
        </w:rPr>
        <w:t xml:space="preserve">following </w:t>
      </w:r>
      <w:r w:rsidRPr="00DE2A1E">
        <w:rPr>
          <w:rFonts w:ascii="Arial" w:hAnsi="Arial" w:cs="Arial"/>
          <w:sz w:val="20"/>
          <w:szCs w:val="20"/>
        </w:rPr>
        <w:t>table, which lists the relevant articles in chronological order rather than by significance.</w:t>
      </w:r>
    </w:p>
    <w:tbl>
      <w:tblPr>
        <w:tblStyle w:val="OECD"/>
        <w:tblW w:w="9072" w:type="dxa"/>
        <w:tblLook w:val="04A0" w:firstRow="1" w:lastRow="0" w:firstColumn="1" w:lastColumn="0" w:noHBand="0" w:noVBand="1"/>
      </w:tblPr>
      <w:tblGrid>
        <w:gridCol w:w="1276"/>
        <w:gridCol w:w="2410"/>
        <w:gridCol w:w="5386"/>
      </w:tblGrid>
      <w:tr w:rsidR="008E40F6" w:rsidRPr="00F23ECC" w14:paraId="6458DDFB" w14:textId="77777777" w:rsidTr="00715B97">
        <w:trPr>
          <w:cnfStyle w:val="100000000000" w:firstRow="1" w:lastRow="0" w:firstColumn="0" w:lastColumn="0" w:oddVBand="0" w:evenVBand="0" w:oddHBand="0" w:evenHBand="0" w:firstRowFirstColumn="0" w:firstRowLastColumn="0" w:lastRowFirstColumn="0" w:lastRowLastColumn="0"/>
          <w:tblHeader/>
        </w:trPr>
        <w:tc>
          <w:tcPr>
            <w:tcW w:w="1276" w:type="dxa"/>
          </w:tcPr>
          <w:p w14:paraId="10348513" w14:textId="77777777" w:rsidR="008E40F6" w:rsidRPr="00F23ECC" w:rsidRDefault="008E40F6" w:rsidP="00715B97">
            <w:pPr>
              <w:spacing w:after="120"/>
              <w:jc w:val="center"/>
              <w:rPr>
                <w:rFonts w:ascii="Arial" w:hAnsi="Arial" w:cs="Arial"/>
                <w:sz w:val="18"/>
                <w:szCs w:val="18"/>
              </w:rPr>
            </w:pPr>
            <w:r w:rsidRPr="00F23ECC">
              <w:rPr>
                <w:rFonts w:ascii="Arial" w:hAnsi="Arial" w:cs="Arial"/>
                <w:b/>
                <w:bCs/>
                <w:sz w:val="18"/>
                <w:szCs w:val="18"/>
              </w:rPr>
              <w:t>Article</w:t>
            </w:r>
          </w:p>
        </w:tc>
        <w:tc>
          <w:tcPr>
            <w:tcW w:w="2410" w:type="dxa"/>
          </w:tcPr>
          <w:p w14:paraId="49E1D1C4" w14:textId="77777777" w:rsidR="008E40F6" w:rsidRPr="00F23ECC" w:rsidRDefault="008E40F6" w:rsidP="00715B97">
            <w:pPr>
              <w:spacing w:after="120"/>
              <w:jc w:val="center"/>
              <w:rPr>
                <w:rFonts w:ascii="Arial" w:hAnsi="Arial" w:cs="Arial"/>
                <w:sz w:val="18"/>
                <w:szCs w:val="18"/>
              </w:rPr>
            </w:pPr>
            <w:r w:rsidRPr="00F23ECC">
              <w:rPr>
                <w:rFonts w:ascii="Arial" w:hAnsi="Arial" w:cs="Arial"/>
                <w:b/>
                <w:bCs/>
                <w:sz w:val="18"/>
                <w:szCs w:val="18"/>
              </w:rPr>
              <w:t>Subject</w:t>
            </w:r>
          </w:p>
        </w:tc>
        <w:tc>
          <w:tcPr>
            <w:tcW w:w="5386" w:type="dxa"/>
          </w:tcPr>
          <w:p w14:paraId="773917F4" w14:textId="77777777" w:rsidR="008E40F6" w:rsidRPr="00F23ECC" w:rsidRDefault="008E40F6" w:rsidP="00715B97">
            <w:pPr>
              <w:spacing w:after="120"/>
              <w:jc w:val="center"/>
              <w:rPr>
                <w:rFonts w:ascii="Arial" w:hAnsi="Arial" w:cs="Arial"/>
                <w:sz w:val="18"/>
                <w:szCs w:val="18"/>
              </w:rPr>
            </w:pPr>
            <w:r w:rsidRPr="00026E88">
              <w:rPr>
                <w:rFonts w:ascii="Arial" w:hAnsi="Arial" w:cs="Arial"/>
                <w:b/>
                <w:bCs/>
                <w:sz w:val="18"/>
                <w:szCs w:val="18"/>
              </w:rPr>
              <w:t xml:space="preserve">Comment </w:t>
            </w:r>
          </w:p>
        </w:tc>
      </w:tr>
      <w:tr w:rsidR="008E40F6" w:rsidRPr="00F23ECC" w14:paraId="372DBF2F" w14:textId="77777777" w:rsidTr="00715B97">
        <w:tc>
          <w:tcPr>
            <w:tcW w:w="1276" w:type="dxa"/>
          </w:tcPr>
          <w:p w14:paraId="4048C737" w14:textId="77777777" w:rsidR="008E40F6" w:rsidRPr="00F23ECC" w:rsidRDefault="008E40F6" w:rsidP="00715B97">
            <w:pPr>
              <w:spacing w:before="0" w:after="60"/>
              <w:jc w:val="left"/>
              <w:rPr>
                <w:rFonts w:ascii="Arial" w:hAnsi="Arial" w:cs="Arial"/>
                <w:sz w:val="18"/>
                <w:szCs w:val="18"/>
              </w:rPr>
            </w:pPr>
            <w:r w:rsidRPr="00F23ECC">
              <w:rPr>
                <w:rFonts w:ascii="Arial" w:hAnsi="Arial" w:cs="Arial"/>
                <w:b/>
                <w:bCs/>
                <w:sz w:val="18"/>
                <w:szCs w:val="18"/>
              </w:rPr>
              <w:t xml:space="preserve">Article 1 </w:t>
            </w:r>
          </w:p>
        </w:tc>
        <w:tc>
          <w:tcPr>
            <w:tcW w:w="2410" w:type="dxa"/>
          </w:tcPr>
          <w:p w14:paraId="430F6B70" w14:textId="77777777" w:rsidR="008E40F6" w:rsidRPr="00F23ECC" w:rsidRDefault="008E40F6" w:rsidP="00715B97">
            <w:pPr>
              <w:spacing w:before="0" w:after="60"/>
              <w:jc w:val="left"/>
              <w:rPr>
                <w:rFonts w:ascii="Arial" w:hAnsi="Arial" w:cs="Arial"/>
                <w:sz w:val="18"/>
                <w:szCs w:val="18"/>
              </w:rPr>
            </w:pPr>
            <w:r>
              <w:rPr>
                <w:rFonts w:ascii="Arial" w:hAnsi="Arial" w:cs="Arial"/>
                <w:sz w:val="18"/>
                <w:szCs w:val="18"/>
              </w:rPr>
              <w:t>Scope of the Law</w:t>
            </w:r>
          </w:p>
        </w:tc>
        <w:tc>
          <w:tcPr>
            <w:tcW w:w="5386" w:type="dxa"/>
          </w:tcPr>
          <w:p w14:paraId="41997517" w14:textId="77777777" w:rsidR="008E40F6" w:rsidRPr="00F23ECC" w:rsidRDefault="008E40F6" w:rsidP="00715B97">
            <w:pPr>
              <w:spacing w:before="0" w:after="60"/>
              <w:jc w:val="left"/>
              <w:rPr>
                <w:rFonts w:ascii="Arial" w:hAnsi="Arial" w:cs="Arial"/>
                <w:sz w:val="18"/>
                <w:szCs w:val="18"/>
              </w:rPr>
            </w:pPr>
            <w:r w:rsidRPr="00DC10DA">
              <w:rPr>
                <w:rFonts w:ascii="Arial" w:hAnsi="Arial" w:cs="Arial"/>
                <w:sz w:val="18"/>
                <w:szCs w:val="18"/>
              </w:rPr>
              <w:t xml:space="preserve">The draft </w:t>
            </w:r>
            <w:r>
              <w:rPr>
                <w:rFonts w:ascii="Arial" w:hAnsi="Arial" w:cs="Arial"/>
                <w:sz w:val="18"/>
                <w:szCs w:val="18"/>
              </w:rPr>
              <w:t>Law</w:t>
            </w:r>
            <w:r w:rsidRPr="00DC10DA">
              <w:rPr>
                <w:rFonts w:ascii="Arial" w:hAnsi="Arial" w:cs="Arial"/>
                <w:sz w:val="18"/>
                <w:szCs w:val="18"/>
              </w:rPr>
              <w:t xml:space="preserve"> does not include a definition of </w:t>
            </w:r>
            <w:r w:rsidRPr="00DC10DA">
              <w:rPr>
                <w:rFonts w:ascii="Arial" w:hAnsi="Arial" w:cs="Arial"/>
                <w:i/>
                <w:iCs/>
                <w:sz w:val="18"/>
                <w:szCs w:val="18"/>
              </w:rPr>
              <w:t>procurement</w:t>
            </w:r>
            <w:r w:rsidRPr="00DC10DA">
              <w:rPr>
                <w:rFonts w:ascii="Arial" w:hAnsi="Arial" w:cs="Arial"/>
                <w:sz w:val="18"/>
                <w:szCs w:val="18"/>
              </w:rPr>
              <w:t xml:space="preserve"> equivalent to Article 1(2) of Directive 2014/25/EU. The law should define procurement as the </w:t>
            </w:r>
            <w:r w:rsidRPr="00402896">
              <w:rPr>
                <w:rFonts w:ascii="Arial" w:hAnsi="Arial" w:cs="Arial"/>
                <w:sz w:val="18"/>
                <w:szCs w:val="18"/>
              </w:rPr>
              <w:t xml:space="preserve">acquisition by means of a supply, works or service contract of works, supplies or services by one or more contracting entities from economic operators chosen by those contracting entities, provided that the works, supplies or services are intended for the pursuit of one of the </w:t>
            </w:r>
            <w:r>
              <w:rPr>
                <w:rFonts w:ascii="Arial" w:hAnsi="Arial" w:cs="Arial"/>
                <w:sz w:val="18"/>
                <w:szCs w:val="18"/>
              </w:rPr>
              <w:t xml:space="preserve">relevant </w:t>
            </w:r>
            <w:r w:rsidRPr="00402896">
              <w:rPr>
                <w:rFonts w:ascii="Arial" w:hAnsi="Arial" w:cs="Arial"/>
                <w:sz w:val="18"/>
                <w:szCs w:val="18"/>
              </w:rPr>
              <w:t>activities</w:t>
            </w:r>
            <w:r w:rsidRPr="00DC10DA">
              <w:rPr>
                <w:rFonts w:ascii="Arial" w:hAnsi="Arial" w:cs="Arial"/>
                <w:sz w:val="18"/>
                <w:szCs w:val="18"/>
              </w:rPr>
              <w:t>. Including this definition is necessary for alignment and legal clarity.</w:t>
            </w:r>
          </w:p>
        </w:tc>
      </w:tr>
      <w:tr w:rsidR="008E40F6" w:rsidRPr="00F23ECC" w14:paraId="32106055" w14:textId="77777777" w:rsidTr="00715B97">
        <w:tc>
          <w:tcPr>
            <w:tcW w:w="1276" w:type="dxa"/>
          </w:tcPr>
          <w:p w14:paraId="710C4104" w14:textId="77777777" w:rsidR="008E40F6" w:rsidRPr="00F23ECC" w:rsidRDefault="008E40F6" w:rsidP="00715B97">
            <w:pPr>
              <w:spacing w:before="0" w:after="60"/>
              <w:jc w:val="left"/>
              <w:rPr>
                <w:rFonts w:ascii="Arial" w:hAnsi="Arial" w:cs="Arial"/>
                <w:sz w:val="18"/>
                <w:szCs w:val="18"/>
              </w:rPr>
            </w:pPr>
            <w:r w:rsidRPr="00DC10DA">
              <w:rPr>
                <w:rFonts w:ascii="Arial" w:hAnsi="Arial" w:cs="Arial"/>
                <w:b/>
                <w:bCs/>
                <w:sz w:val="18"/>
                <w:szCs w:val="18"/>
              </w:rPr>
              <w:t xml:space="preserve">Article 3(o) </w:t>
            </w:r>
          </w:p>
        </w:tc>
        <w:tc>
          <w:tcPr>
            <w:tcW w:w="2410" w:type="dxa"/>
          </w:tcPr>
          <w:p w14:paraId="7E273993" w14:textId="77777777" w:rsidR="008E40F6" w:rsidRPr="00AD3479" w:rsidRDefault="008E40F6" w:rsidP="00715B97">
            <w:pPr>
              <w:spacing w:before="0" w:after="60"/>
              <w:jc w:val="left"/>
              <w:rPr>
                <w:rFonts w:ascii="Arial" w:hAnsi="Arial" w:cs="Arial"/>
                <w:sz w:val="18"/>
                <w:szCs w:val="18"/>
              </w:rPr>
            </w:pPr>
            <w:r w:rsidRPr="00AD3479">
              <w:rPr>
                <w:rFonts w:ascii="Arial" w:hAnsi="Arial" w:cs="Arial"/>
                <w:sz w:val="18"/>
                <w:szCs w:val="18"/>
              </w:rPr>
              <w:t>Definition</w:t>
            </w:r>
            <w:r>
              <w:rPr>
                <w:rFonts w:ascii="Arial" w:hAnsi="Arial" w:cs="Arial"/>
                <w:sz w:val="18"/>
                <w:szCs w:val="18"/>
              </w:rPr>
              <w:t xml:space="preserve"> of a “</w:t>
            </w:r>
            <w:r w:rsidRPr="00AD3479">
              <w:rPr>
                <w:rFonts w:ascii="Arial" w:hAnsi="Arial" w:cs="Arial"/>
                <w:sz w:val="18"/>
                <w:szCs w:val="18"/>
              </w:rPr>
              <w:t>candidate</w:t>
            </w:r>
            <w:r>
              <w:rPr>
                <w:rFonts w:ascii="Arial" w:hAnsi="Arial" w:cs="Arial"/>
                <w:sz w:val="18"/>
                <w:szCs w:val="18"/>
              </w:rPr>
              <w:t>”</w:t>
            </w:r>
          </w:p>
        </w:tc>
        <w:tc>
          <w:tcPr>
            <w:tcW w:w="5386" w:type="dxa"/>
          </w:tcPr>
          <w:p w14:paraId="41D8B7CF" w14:textId="77777777" w:rsidR="008E40F6" w:rsidRPr="00F23ECC" w:rsidRDefault="008E40F6" w:rsidP="00715B97">
            <w:pPr>
              <w:spacing w:before="0" w:after="60"/>
              <w:jc w:val="left"/>
              <w:rPr>
                <w:rFonts w:ascii="Arial" w:hAnsi="Arial" w:cs="Arial"/>
                <w:sz w:val="18"/>
                <w:szCs w:val="18"/>
              </w:rPr>
            </w:pPr>
            <w:r w:rsidRPr="00AD3479">
              <w:rPr>
                <w:rFonts w:ascii="Arial" w:hAnsi="Arial" w:cs="Arial"/>
                <w:sz w:val="18"/>
                <w:szCs w:val="18"/>
              </w:rPr>
              <w:t xml:space="preserve">The definition of </w:t>
            </w:r>
            <w:r w:rsidRPr="00AD3479">
              <w:rPr>
                <w:rFonts w:ascii="Arial" w:hAnsi="Arial" w:cs="Arial"/>
                <w:i/>
                <w:iCs/>
                <w:sz w:val="18"/>
                <w:szCs w:val="18"/>
              </w:rPr>
              <w:t>candidate</w:t>
            </w:r>
            <w:r w:rsidRPr="00AD3479">
              <w:rPr>
                <w:rFonts w:ascii="Arial" w:hAnsi="Arial" w:cs="Arial"/>
                <w:sz w:val="18"/>
                <w:szCs w:val="18"/>
              </w:rPr>
              <w:t xml:space="preserve"> mirrors Directive 2014/24/EU but omits a key procedure relevant for utilities: the </w:t>
            </w:r>
            <w:r w:rsidRPr="00402896">
              <w:rPr>
                <w:rFonts w:ascii="Arial" w:hAnsi="Arial" w:cs="Arial"/>
                <w:i/>
                <w:iCs/>
                <w:sz w:val="18"/>
                <w:szCs w:val="18"/>
              </w:rPr>
              <w:t>negotiated procedure with prior publication of a call for competition</w:t>
            </w:r>
            <w:r w:rsidRPr="00AD3479">
              <w:rPr>
                <w:rFonts w:ascii="Arial" w:hAnsi="Arial" w:cs="Arial"/>
                <w:sz w:val="18"/>
                <w:szCs w:val="18"/>
              </w:rPr>
              <w:t xml:space="preserve"> (Article 44 of Directive 2014/25/EU). For full alignment with the Utilities Directive, the definition should explicitly include this procedure, ensuring that candidates in utilities procurement are correctly covered.</w:t>
            </w:r>
          </w:p>
        </w:tc>
      </w:tr>
      <w:tr w:rsidR="008E40F6" w:rsidRPr="00F23ECC" w14:paraId="76EE81DB" w14:textId="77777777" w:rsidTr="00715B97">
        <w:tc>
          <w:tcPr>
            <w:tcW w:w="1276" w:type="dxa"/>
          </w:tcPr>
          <w:p w14:paraId="394C7871" w14:textId="77777777" w:rsidR="008E40F6" w:rsidRPr="00F23ECC" w:rsidRDefault="008E40F6" w:rsidP="00715B97">
            <w:pPr>
              <w:spacing w:before="0" w:after="60"/>
              <w:jc w:val="left"/>
              <w:rPr>
                <w:rFonts w:ascii="Arial" w:hAnsi="Arial" w:cs="Arial"/>
                <w:sz w:val="18"/>
                <w:szCs w:val="18"/>
              </w:rPr>
            </w:pPr>
            <w:r w:rsidRPr="00F23ECC">
              <w:rPr>
                <w:rFonts w:ascii="Arial" w:hAnsi="Arial" w:cs="Arial"/>
                <w:b/>
                <w:bCs/>
                <w:sz w:val="18"/>
                <w:szCs w:val="18"/>
              </w:rPr>
              <w:t>Art</w:t>
            </w:r>
            <w:r>
              <w:rPr>
                <w:rFonts w:ascii="Arial" w:hAnsi="Arial" w:cs="Arial"/>
                <w:b/>
                <w:bCs/>
                <w:sz w:val="18"/>
                <w:szCs w:val="18"/>
              </w:rPr>
              <w:t>icle 3(t)</w:t>
            </w:r>
          </w:p>
        </w:tc>
        <w:tc>
          <w:tcPr>
            <w:tcW w:w="2410" w:type="dxa"/>
          </w:tcPr>
          <w:p w14:paraId="45B55F8B" w14:textId="77777777" w:rsidR="008E40F6" w:rsidRPr="00F23ECC" w:rsidRDefault="008E40F6" w:rsidP="00715B97">
            <w:pPr>
              <w:spacing w:before="0" w:after="60"/>
              <w:jc w:val="left"/>
              <w:rPr>
                <w:rFonts w:ascii="Arial" w:hAnsi="Arial" w:cs="Arial"/>
                <w:sz w:val="18"/>
                <w:szCs w:val="18"/>
              </w:rPr>
            </w:pPr>
            <w:r w:rsidRPr="00E019A3">
              <w:rPr>
                <w:rFonts w:ascii="Arial" w:hAnsi="Arial" w:cs="Arial"/>
                <w:sz w:val="18"/>
                <w:szCs w:val="18"/>
              </w:rPr>
              <w:t xml:space="preserve">Definition of “unacceptable </w:t>
            </w:r>
            <w:r>
              <w:rPr>
                <w:rFonts w:ascii="Arial" w:hAnsi="Arial" w:cs="Arial"/>
                <w:sz w:val="18"/>
                <w:szCs w:val="18"/>
              </w:rPr>
              <w:t>tender</w:t>
            </w:r>
            <w:r w:rsidRPr="00E019A3">
              <w:rPr>
                <w:rFonts w:ascii="Arial" w:hAnsi="Arial" w:cs="Arial"/>
                <w:sz w:val="18"/>
                <w:szCs w:val="18"/>
              </w:rPr>
              <w:t>”</w:t>
            </w:r>
          </w:p>
        </w:tc>
        <w:tc>
          <w:tcPr>
            <w:tcW w:w="5386" w:type="dxa"/>
          </w:tcPr>
          <w:p w14:paraId="5A1F1ED4" w14:textId="77777777" w:rsidR="008E40F6" w:rsidRPr="00F23ECC" w:rsidRDefault="008E40F6" w:rsidP="00715B97">
            <w:pPr>
              <w:spacing w:before="0" w:after="60"/>
              <w:jc w:val="left"/>
              <w:rPr>
                <w:rFonts w:ascii="Arial" w:hAnsi="Arial" w:cs="Arial"/>
                <w:sz w:val="18"/>
                <w:szCs w:val="18"/>
              </w:rPr>
            </w:pPr>
            <w:r w:rsidRPr="00EB5CD5">
              <w:rPr>
                <w:rFonts w:ascii="Arial" w:hAnsi="Arial" w:cs="Arial"/>
                <w:sz w:val="18"/>
                <w:szCs w:val="18"/>
              </w:rPr>
              <w:t xml:space="preserve">The draft defines an unacceptable </w:t>
            </w:r>
            <w:r>
              <w:rPr>
                <w:rFonts w:ascii="Arial" w:hAnsi="Arial" w:cs="Arial"/>
                <w:sz w:val="18"/>
                <w:szCs w:val="18"/>
              </w:rPr>
              <w:t>tender</w:t>
            </w:r>
            <w:r w:rsidRPr="00EB5CD5">
              <w:rPr>
                <w:rFonts w:ascii="Arial" w:hAnsi="Arial" w:cs="Arial"/>
                <w:sz w:val="18"/>
                <w:szCs w:val="18"/>
              </w:rPr>
              <w:t xml:space="preserve"> as one whose price exceeds the </w:t>
            </w:r>
            <w:r w:rsidRPr="00796E2B">
              <w:rPr>
                <w:rFonts w:ascii="Arial" w:hAnsi="Arial" w:cs="Arial"/>
                <w:i/>
                <w:iCs/>
                <w:sz w:val="18"/>
                <w:szCs w:val="18"/>
              </w:rPr>
              <w:t>estimated value</w:t>
            </w:r>
            <w:r w:rsidRPr="00EB5CD5">
              <w:rPr>
                <w:rFonts w:ascii="Arial" w:hAnsi="Arial" w:cs="Arial"/>
                <w:sz w:val="18"/>
                <w:szCs w:val="18"/>
              </w:rPr>
              <w:t xml:space="preserve"> of the procurement. However, Article 26(4)(b) of Directive 2014/24/EU specifies that a</w:t>
            </w:r>
            <w:r>
              <w:rPr>
                <w:rFonts w:ascii="Arial" w:hAnsi="Arial" w:cs="Arial"/>
                <w:sz w:val="18"/>
                <w:szCs w:val="18"/>
              </w:rPr>
              <w:t xml:space="preserve"> tender </w:t>
            </w:r>
            <w:r w:rsidRPr="00EB5CD5">
              <w:rPr>
                <w:rFonts w:ascii="Arial" w:hAnsi="Arial" w:cs="Arial"/>
                <w:sz w:val="18"/>
                <w:szCs w:val="18"/>
              </w:rPr>
              <w:t>is unacceptable</w:t>
            </w:r>
            <w:r>
              <w:rPr>
                <w:rFonts w:ascii="Arial" w:hAnsi="Arial" w:cs="Arial"/>
                <w:sz w:val="18"/>
                <w:szCs w:val="18"/>
              </w:rPr>
              <w:t xml:space="preserve">, inter alia, </w:t>
            </w:r>
            <w:r w:rsidRPr="00EB5CD5">
              <w:rPr>
                <w:rFonts w:ascii="Arial" w:hAnsi="Arial" w:cs="Arial"/>
                <w:sz w:val="18"/>
                <w:szCs w:val="18"/>
              </w:rPr>
              <w:t xml:space="preserve">when its price exceeds the </w:t>
            </w:r>
            <w:r w:rsidRPr="00796E2B">
              <w:rPr>
                <w:rFonts w:ascii="Arial" w:hAnsi="Arial" w:cs="Arial"/>
                <w:i/>
                <w:iCs/>
                <w:sz w:val="18"/>
                <w:szCs w:val="18"/>
              </w:rPr>
              <w:t>contracting authority’s budget</w:t>
            </w:r>
            <w:r w:rsidRPr="00EB5CD5">
              <w:rPr>
                <w:rFonts w:ascii="Arial" w:hAnsi="Arial" w:cs="Arial"/>
                <w:sz w:val="18"/>
                <w:szCs w:val="18"/>
              </w:rPr>
              <w:t xml:space="preserve">, as determined and documented </w:t>
            </w:r>
            <w:r>
              <w:rPr>
                <w:rFonts w:ascii="Arial" w:hAnsi="Arial" w:cs="Arial"/>
                <w:i/>
                <w:iCs/>
                <w:sz w:val="18"/>
                <w:szCs w:val="18"/>
              </w:rPr>
              <w:t>prior to</w:t>
            </w:r>
            <w:r w:rsidRPr="00EB5CD5">
              <w:rPr>
                <w:rFonts w:ascii="Arial" w:hAnsi="Arial" w:cs="Arial"/>
                <w:i/>
                <w:iCs/>
                <w:sz w:val="18"/>
                <w:szCs w:val="18"/>
              </w:rPr>
              <w:t xml:space="preserve"> the launch</w:t>
            </w:r>
            <w:r>
              <w:rPr>
                <w:rFonts w:ascii="Arial" w:hAnsi="Arial" w:cs="Arial"/>
                <w:i/>
                <w:iCs/>
                <w:sz w:val="18"/>
                <w:szCs w:val="18"/>
              </w:rPr>
              <w:t>ing</w:t>
            </w:r>
            <w:r w:rsidRPr="00EB5CD5">
              <w:rPr>
                <w:rFonts w:ascii="Arial" w:hAnsi="Arial" w:cs="Arial"/>
                <w:i/>
                <w:iCs/>
                <w:sz w:val="18"/>
                <w:szCs w:val="18"/>
              </w:rPr>
              <w:t xml:space="preserve"> of the</w:t>
            </w:r>
            <w:r>
              <w:rPr>
                <w:rFonts w:ascii="Arial" w:hAnsi="Arial" w:cs="Arial"/>
                <w:i/>
                <w:iCs/>
                <w:sz w:val="18"/>
                <w:szCs w:val="18"/>
              </w:rPr>
              <w:t xml:space="preserve"> procurement</w:t>
            </w:r>
            <w:r w:rsidRPr="00EB5CD5">
              <w:rPr>
                <w:rFonts w:ascii="Arial" w:hAnsi="Arial" w:cs="Arial"/>
                <w:i/>
                <w:iCs/>
                <w:sz w:val="18"/>
                <w:szCs w:val="18"/>
              </w:rPr>
              <w:t xml:space="preserve"> procedure</w:t>
            </w:r>
            <w:r w:rsidRPr="00EB5CD5">
              <w:rPr>
                <w:rFonts w:ascii="Arial" w:hAnsi="Arial" w:cs="Arial"/>
                <w:sz w:val="18"/>
                <w:szCs w:val="18"/>
              </w:rPr>
              <w:t xml:space="preserve">. The definition should therefore refer to the </w:t>
            </w:r>
            <w:r w:rsidRPr="00796E2B">
              <w:rPr>
                <w:rFonts w:ascii="Arial" w:hAnsi="Arial" w:cs="Arial"/>
                <w:i/>
                <w:iCs/>
                <w:sz w:val="18"/>
                <w:szCs w:val="18"/>
              </w:rPr>
              <w:t>budget</w:t>
            </w:r>
            <w:r w:rsidRPr="00EB5CD5">
              <w:rPr>
                <w:rFonts w:ascii="Arial" w:hAnsi="Arial" w:cs="Arial"/>
                <w:sz w:val="18"/>
                <w:szCs w:val="18"/>
              </w:rPr>
              <w:t xml:space="preserve">, not the estimated value, to ensure EU alignment and avoid unjustified </w:t>
            </w:r>
            <w:r>
              <w:rPr>
                <w:rFonts w:ascii="Arial" w:hAnsi="Arial" w:cs="Arial"/>
                <w:sz w:val="18"/>
                <w:szCs w:val="18"/>
              </w:rPr>
              <w:t>rejection</w:t>
            </w:r>
            <w:r w:rsidRPr="00EB5CD5">
              <w:rPr>
                <w:rFonts w:ascii="Arial" w:hAnsi="Arial" w:cs="Arial"/>
                <w:sz w:val="18"/>
                <w:szCs w:val="18"/>
              </w:rPr>
              <w:t xml:space="preserve"> of </w:t>
            </w:r>
            <w:r>
              <w:rPr>
                <w:rFonts w:ascii="Arial" w:hAnsi="Arial" w:cs="Arial"/>
                <w:sz w:val="18"/>
                <w:szCs w:val="18"/>
              </w:rPr>
              <w:t>tenders</w:t>
            </w:r>
            <w:r w:rsidRPr="00EB5CD5">
              <w:rPr>
                <w:rFonts w:ascii="Arial" w:hAnsi="Arial" w:cs="Arial"/>
                <w:sz w:val="18"/>
                <w:szCs w:val="18"/>
              </w:rPr>
              <w:t>.</w:t>
            </w:r>
          </w:p>
        </w:tc>
      </w:tr>
      <w:tr w:rsidR="008E40F6" w:rsidRPr="00F23ECC" w14:paraId="14CE0FAA" w14:textId="77777777" w:rsidTr="00715B97">
        <w:tc>
          <w:tcPr>
            <w:tcW w:w="1276" w:type="dxa"/>
          </w:tcPr>
          <w:p w14:paraId="36F89C68" w14:textId="77777777" w:rsidR="008E40F6" w:rsidRPr="00F23ECC" w:rsidRDefault="008E40F6" w:rsidP="00715B97">
            <w:pPr>
              <w:spacing w:before="0" w:after="60"/>
              <w:jc w:val="left"/>
              <w:rPr>
                <w:rFonts w:ascii="Arial" w:hAnsi="Arial" w:cs="Arial"/>
                <w:sz w:val="18"/>
                <w:szCs w:val="18"/>
              </w:rPr>
            </w:pPr>
            <w:r w:rsidRPr="00F23ECC">
              <w:rPr>
                <w:rFonts w:ascii="Arial" w:hAnsi="Arial" w:cs="Arial"/>
                <w:b/>
                <w:bCs/>
                <w:sz w:val="18"/>
                <w:szCs w:val="18"/>
              </w:rPr>
              <w:t>Art</w:t>
            </w:r>
            <w:r>
              <w:rPr>
                <w:rFonts w:ascii="Arial" w:hAnsi="Arial" w:cs="Arial"/>
                <w:b/>
                <w:bCs/>
                <w:sz w:val="18"/>
                <w:szCs w:val="18"/>
              </w:rPr>
              <w:t>icle 3(t)</w:t>
            </w:r>
          </w:p>
        </w:tc>
        <w:tc>
          <w:tcPr>
            <w:tcW w:w="2410" w:type="dxa"/>
          </w:tcPr>
          <w:p w14:paraId="7A950058" w14:textId="77777777" w:rsidR="008E40F6" w:rsidRPr="00F23ECC" w:rsidRDefault="008E40F6" w:rsidP="00715B97">
            <w:pPr>
              <w:spacing w:before="0" w:after="60"/>
              <w:jc w:val="left"/>
              <w:rPr>
                <w:rFonts w:ascii="Arial" w:hAnsi="Arial" w:cs="Arial"/>
                <w:sz w:val="18"/>
                <w:szCs w:val="18"/>
              </w:rPr>
            </w:pPr>
            <w:r w:rsidRPr="00652D12">
              <w:rPr>
                <w:rFonts w:ascii="Arial" w:hAnsi="Arial" w:cs="Arial"/>
                <w:sz w:val="18"/>
                <w:szCs w:val="18"/>
              </w:rPr>
              <w:t>Definition of “written or in writing”</w:t>
            </w:r>
          </w:p>
        </w:tc>
        <w:tc>
          <w:tcPr>
            <w:tcW w:w="5386" w:type="dxa"/>
          </w:tcPr>
          <w:p w14:paraId="413B2382" w14:textId="77777777" w:rsidR="008E40F6" w:rsidRPr="00F23ECC" w:rsidRDefault="008E40F6" w:rsidP="00715B97">
            <w:pPr>
              <w:spacing w:before="0" w:after="60"/>
              <w:jc w:val="left"/>
              <w:rPr>
                <w:rFonts w:ascii="Arial" w:hAnsi="Arial" w:cs="Arial"/>
                <w:sz w:val="18"/>
                <w:szCs w:val="18"/>
              </w:rPr>
            </w:pPr>
            <w:r w:rsidRPr="00652D12">
              <w:rPr>
                <w:rFonts w:ascii="Arial" w:hAnsi="Arial" w:cs="Arial"/>
                <w:sz w:val="18"/>
                <w:szCs w:val="18"/>
              </w:rPr>
              <w:t>The definition states that written form may include data transmitted and stored “</w:t>
            </w:r>
            <w:r w:rsidRPr="00796E2B">
              <w:rPr>
                <w:rFonts w:ascii="Arial" w:hAnsi="Arial" w:cs="Arial"/>
                <w:i/>
                <w:iCs/>
                <w:sz w:val="18"/>
                <w:szCs w:val="18"/>
              </w:rPr>
              <w:t>elektronskim putem</w:t>
            </w:r>
            <w:r w:rsidRPr="00652D12">
              <w:rPr>
                <w:rFonts w:ascii="Arial" w:hAnsi="Arial" w:cs="Arial"/>
                <w:sz w:val="18"/>
                <w:szCs w:val="18"/>
              </w:rPr>
              <w:t>”. For alignment with Directive terminology, this should read “</w:t>
            </w:r>
            <w:r w:rsidRPr="00796E2B">
              <w:rPr>
                <w:rFonts w:ascii="Arial" w:hAnsi="Arial" w:cs="Arial"/>
                <w:i/>
                <w:iCs/>
                <w:sz w:val="18"/>
                <w:szCs w:val="18"/>
              </w:rPr>
              <w:t>elektronskim sredstvima</w:t>
            </w:r>
            <w:r w:rsidRPr="00652D12">
              <w:rPr>
                <w:rFonts w:ascii="Arial" w:hAnsi="Arial" w:cs="Arial"/>
                <w:sz w:val="18"/>
                <w:szCs w:val="18"/>
              </w:rPr>
              <w:t xml:space="preserve">” (“by electronic means”), consistent with the definition of </w:t>
            </w:r>
            <w:r w:rsidRPr="00652D12">
              <w:rPr>
                <w:rFonts w:ascii="Arial" w:hAnsi="Arial" w:cs="Arial"/>
                <w:i/>
                <w:iCs/>
                <w:sz w:val="18"/>
                <w:szCs w:val="18"/>
              </w:rPr>
              <w:t>electronic means</w:t>
            </w:r>
            <w:r w:rsidRPr="00652D12">
              <w:rPr>
                <w:rFonts w:ascii="Arial" w:hAnsi="Arial" w:cs="Arial"/>
                <w:sz w:val="18"/>
                <w:szCs w:val="18"/>
              </w:rPr>
              <w:t xml:space="preserve"> in Article 3(i)</w:t>
            </w:r>
            <w:r>
              <w:rPr>
                <w:rFonts w:ascii="Arial" w:hAnsi="Arial" w:cs="Arial"/>
                <w:sz w:val="18"/>
                <w:szCs w:val="18"/>
              </w:rPr>
              <w:t xml:space="preserve"> of the draft Law</w:t>
            </w:r>
            <w:r w:rsidRPr="00652D12">
              <w:rPr>
                <w:rFonts w:ascii="Arial" w:hAnsi="Arial" w:cs="Arial"/>
                <w:sz w:val="18"/>
                <w:szCs w:val="18"/>
              </w:rPr>
              <w:t xml:space="preserve">. </w:t>
            </w:r>
          </w:p>
        </w:tc>
      </w:tr>
      <w:tr w:rsidR="008E40F6" w:rsidRPr="00F23ECC" w14:paraId="642F6149" w14:textId="77777777" w:rsidTr="00715B97">
        <w:tc>
          <w:tcPr>
            <w:tcW w:w="1276" w:type="dxa"/>
          </w:tcPr>
          <w:p w14:paraId="403BB3A4" w14:textId="77777777" w:rsidR="008E40F6" w:rsidRPr="00F23ECC" w:rsidRDefault="008E40F6" w:rsidP="00715B97">
            <w:pPr>
              <w:spacing w:before="0" w:after="60"/>
              <w:jc w:val="left"/>
              <w:rPr>
                <w:rFonts w:ascii="Arial" w:hAnsi="Arial" w:cs="Arial"/>
                <w:sz w:val="18"/>
                <w:szCs w:val="18"/>
              </w:rPr>
            </w:pPr>
            <w:r w:rsidRPr="00F23ECC">
              <w:rPr>
                <w:rFonts w:ascii="Arial" w:hAnsi="Arial" w:cs="Arial"/>
                <w:b/>
                <w:bCs/>
                <w:sz w:val="18"/>
                <w:szCs w:val="18"/>
              </w:rPr>
              <w:t>Art</w:t>
            </w:r>
            <w:r>
              <w:rPr>
                <w:rFonts w:ascii="Arial" w:hAnsi="Arial" w:cs="Arial"/>
                <w:b/>
                <w:bCs/>
                <w:sz w:val="18"/>
                <w:szCs w:val="18"/>
              </w:rPr>
              <w:t>icle 3(nn)</w:t>
            </w:r>
          </w:p>
        </w:tc>
        <w:tc>
          <w:tcPr>
            <w:tcW w:w="2410" w:type="dxa"/>
          </w:tcPr>
          <w:p w14:paraId="4D676DF9" w14:textId="77777777" w:rsidR="008E40F6" w:rsidRPr="00F23ECC" w:rsidRDefault="008E40F6" w:rsidP="00715B97">
            <w:pPr>
              <w:spacing w:before="0" w:after="60"/>
              <w:jc w:val="left"/>
              <w:rPr>
                <w:rFonts w:ascii="Arial" w:hAnsi="Arial" w:cs="Arial"/>
                <w:sz w:val="18"/>
                <w:szCs w:val="18"/>
              </w:rPr>
            </w:pPr>
            <w:r>
              <w:rPr>
                <w:rFonts w:ascii="Arial" w:hAnsi="Arial" w:cs="Arial"/>
                <w:sz w:val="18"/>
                <w:szCs w:val="18"/>
              </w:rPr>
              <w:t xml:space="preserve">Definition of </w:t>
            </w:r>
            <w:r w:rsidRPr="00FF794F">
              <w:rPr>
                <w:rFonts w:ascii="Arial" w:hAnsi="Arial" w:cs="Arial"/>
                <w:sz w:val="18"/>
                <w:szCs w:val="18"/>
              </w:rPr>
              <w:t>“security of supply”</w:t>
            </w:r>
          </w:p>
        </w:tc>
        <w:tc>
          <w:tcPr>
            <w:tcW w:w="5386" w:type="dxa"/>
          </w:tcPr>
          <w:p w14:paraId="13F2C9AB" w14:textId="77777777" w:rsidR="008E40F6" w:rsidRPr="00F23ECC" w:rsidRDefault="008E40F6" w:rsidP="00715B97">
            <w:pPr>
              <w:spacing w:before="0" w:after="60"/>
              <w:jc w:val="left"/>
              <w:rPr>
                <w:rFonts w:ascii="Arial" w:hAnsi="Arial" w:cs="Arial"/>
                <w:sz w:val="18"/>
                <w:szCs w:val="18"/>
              </w:rPr>
            </w:pPr>
            <w:r w:rsidRPr="00FF794F">
              <w:rPr>
                <w:rFonts w:ascii="Arial" w:hAnsi="Arial" w:cs="Arial"/>
                <w:sz w:val="18"/>
                <w:szCs w:val="18"/>
              </w:rPr>
              <w:t xml:space="preserve">The draft provides a definition of </w:t>
            </w:r>
            <w:r w:rsidRPr="00FF794F">
              <w:rPr>
                <w:rFonts w:ascii="Arial" w:hAnsi="Arial" w:cs="Arial"/>
                <w:i/>
                <w:iCs/>
                <w:sz w:val="18"/>
                <w:szCs w:val="18"/>
              </w:rPr>
              <w:t>security of supply</w:t>
            </w:r>
            <w:r w:rsidRPr="00FF794F">
              <w:rPr>
                <w:rFonts w:ascii="Arial" w:hAnsi="Arial" w:cs="Arial"/>
                <w:sz w:val="18"/>
                <w:szCs w:val="18"/>
              </w:rPr>
              <w:t xml:space="preserve"> that does not correspond to the meaning used in the Defence Directive (2009/81/EC) or to the Commission’s Guidance Note, where the term relates specifically to ensuring national capacity and continuity of defence-related supplies under security policy requirements. The definition in the draft </w:t>
            </w:r>
            <w:r>
              <w:rPr>
                <w:rFonts w:ascii="Arial" w:hAnsi="Arial" w:cs="Arial"/>
                <w:sz w:val="18"/>
                <w:szCs w:val="18"/>
              </w:rPr>
              <w:t>L</w:t>
            </w:r>
            <w:r w:rsidRPr="00FF794F">
              <w:rPr>
                <w:rFonts w:ascii="Arial" w:hAnsi="Arial" w:cs="Arial"/>
                <w:sz w:val="18"/>
                <w:szCs w:val="18"/>
              </w:rPr>
              <w:t xml:space="preserve">aw introduces a much broader and unrelated concept focused on contract performance. Moreover, the term </w:t>
            </w:r>
            <w:r w:rsidRPr="00FF794F">
              <w:rPr>
                <w:rFonts w:ascii="Arial" w:hAnsi="Arial" w:cs="Arial"/>
                <w:i/>
                <w:iCs/>
                <w:sz w:val="18"/>
                <w:szCs w:val="18"/>
              </w:rPr>
              <w:t>security of supply</w:t>
            </w:r>
            <w:r w:rsidRPr="00FF794F">
              <w:rPr>
                <w:rFonts w:ascii="Arial" w:hAnsi="Arial" w:cs="Arial"/>
                <w:sz w:val="18"/>
                <w:szCs w:val="18"/>
              </w:rPr>
              <w:t xml:space="preserve"> does </w:t>
            </w:r>
            <w:r w:rsidRPr="006459BE">
              <w:rPr>
                <w:rFonts w:ascii="Arial" w:hAnsi="Arial" w:cs="Arial"/>
                <w:sz w:val="18"/>
                <w:szCs w:val="18"/>
              </w:rPr>
              <w:t xml:space="preserve">not appear anywhere else in the draft </w:t>
            </w:r>
            <w:r>
              <w:rPr>
                <w:rFonts w:ascii="Arial" w:hAnsi="Arial" w:cs="Arial"/>
                <w:sz w:val="18"/>
                <w:szCs w:val="18"/>
              </w:rPr>
              <w:t>Law</w:t>
            </w:r>
            <w:r w:rsidRPr="00FF794F">
              <w:rPr>
                <w:rFonts w:ascii="Arial" w:hAnsi="Arial" w:cs="Arial"/>
                <w:sz w:val="18"/>
                <w:szCs w:val="18"/>
              </w:rPr>
              <w:t>, making the definition unnecessary. The definition should therefore be deleted unless the term is used and aligned with the EU acquis.</w:t>
            </w:r>
          </w:p>
        </w:tc>
      </w:tr>
      <w:tr w:rsidR="008E40F6" w:rsidRPr="00F23ECC" w14:paraId="3022C96A" w14:textId="77777777" w:rsidTr="00715B97">
        <w:tc>
          <w:tcPr>
            <w:tcW w:w="1276" w:type="dxa"/>
          </w:tcPr>
          <w:p w14:paraId="08B42841" w14:textId="77777777" w:rsidR="008E40F6" w:rsidRPr="00F23ECC" w:rsidRDefault="008E40F6" w:rsidP="00715B97">
            <w:pPr>
              <w:spacing w:before="0" w:after="60"/>
              <w:jc w:val="left"/>
              <w:rPr>
                <w:rFonts w:ascii="Arial" w:hAnsi="Arial" w:cs="Arial"/>
                <w:sz w:val="18"/>
                <w:szCs w:val="18"/>
              </w:rPr>
            </w:pPr>
            <w:r w:rsidRPr="00F23ECC">
              <w:rPr>
                <w:rFonts w:ascii="Arial" w:hAnsi="Arial" w:cs="Arial"/>
                <w:b/>
                <w:bCs/>
                <w:sz w:val="18"/>
                <w:szCs w:val="18"/>
              </w:rPr>
              <w:t>Art</w:t>
            </w:r>
            <w:r>
              <w:rPr>
                <w:rFonts w:ascii="Arial" w:hAnsi="Arial" w:cs="Arial"/>
                <w:b/>
                <w:bCs/>
                <w:sz w:val="18"/>
                <w:szCs w:val="18"/>
              </w:rPr>
              <w:t>icle 3(pp)</w:t>
            </w:r>
          </w:p>
        </w:tc>
        <w:tc>
          <w:tcPr>
            <w:tcW w:w="2410" w:type="dxa"/>
          </w:tcPr>
          <w:p w14:paraId="02790D53" w14:textId="77777777" w:rsidR="008E40F6" w:rsidRPr="00F23ECC" w:rsidRDefault="008E40F6" w:rsidP="00715B97">
            <w:pPr>
              <w:spacing w:before="0" w:after="60"/>
              <w:jc w:val="left"/>
              <w:rPr>
                <w:rFonts w:ascii="Arial" w:hAnsi="Arial" w:cs="Arial"/>
                <w:sz w:val="18"/>
                <w:szCs w:val="18"/>
              </w:rPr>
            </w:pPr>
            <w:r w:rsidRPr="00FF794F">
              <w:rPr>
                <w:rFonts w:ascii="Arial" w:hAnsi="Arial" w:cs="Arial"/>
                <w:sz w:val="18"/>
                <w:szCs w:val="18"/>
              </w:rPr>
              <w:t xml:space="preserve">Definition of </w:t>
            </w:r>
            <w:r>
              <w:rPr>
                <w:rFonts w:ascii="Arial" w:hAnsi="Arial" w:cs="Arial"/>
                <w:sz w:val="18"/>
                <w:szCs w:val="18"/>
              </w:rPr>
              <w:t>“</w:t>
            </w:r>
            <w:r w:rsidRPr="00FF794F">
              <w:rPr>
                <w:rFonts w:ascii="Arial" w:hAnsi="Arial" w:cs="Arial"/>
                <w:sz w:val="18"/>
                <w:szCs w:val="18"/>
              </w:rPr>
              <w:t>classified information</w:t>
            </w:r>
            <w:r>
              <w:rPr>
                <w:rFonts w:ascii="Arial" w:hAnsi="Arial" w:cs="Arial"/>
                <w:sz w:val="18"/>
                <w:szCs w:val="18"/>
              </w:rPr>
              <w:t>”</w:t>
            </w:r>
          </w:p>
        </w:tc>
        <w:tc>
          <w:tcPr>
            <w:tcW w:w="5386" w:type="dxa"/>
          </w:tcPr>
          <w:p w14:paraId="7900D61B" w14:textId="77777777" w:rsidR="008E40F6" w:rsidRPr="00F23ECC" w:rsidRDefault="008E40F6" w:rsidP="00715B97">
            <w:pPr>
              <w:spacing w:before="0" w:after="60"/>
              <w:jc w:val="left"/>
              <w:rPr>
                <w:rFonts w:ascii="Arial" w:hAnsi="Arial" w:cs="Arial"/>
                <w:sz w:val="18"/>
                <w:szCs w:val="18"/>
              </w:rPr>
            </w:pPr>
            <w:r w:rsidRPr="00FF794F">
              <w:rPr>
                <w:rFonts w:ascii="Arial" w:hAnsi="Arial" w:cs="Arial"/>
                <w:sz w:val="18"/>
                <w:szCs w:val="18"/>
              </w:rPr>
              <w:t xml:space="preserve">The definition of </w:t>
            </w:r>
            <w:r w:rsidRPr="00FF794F">
              <w:rPr>
                <w:rFonts w:ascii="Arial" w:hAnsi="Arial" w:cs="Arial"/>
                <w:i/>
                <w:iCs/>
                <w:sz w:val="18"/>
                <w:szCs w:val="18"/>
              </w:rPr>
              <w:t>tajni/klasificirani podatak</w:t>
            </w:r>
            <w:r w:rsidRPr="00FF794F">
              <w:rPr>
                <w:rFonts w:ascii="Arial" w:hAnsi="Arial" w:cs="Arial"/>
                <w:sz w:val="18"/>
                <w:szCs w:val="18"/>
              </w:rPr>
              <w:t xml:space="preserve"> refers only to the national Law on Protection of Secret Data, but does </w:t>
            </w:r>
            <w:r w:rsidRPr="006459BE">
              <w:rPr>
                <w:rFonts w:ascii="Arial" w:hAnsi="Arial" w:cs="Arial"/>
                <w:sz w:val="18"/>
                <w:szCs w:val="18"/>
              </w:rPr>
              <w:t>not align with the broader and more precise definition</w:t>
            </w:r>
            <w:r w:rsidRPr="00FF794F">
              <w:rPr>
                <w:rFonts w:ascii="Arial" w:hAnsi="Arial" w:cs="Arial"/>
                <w:sz w:val="18"/>
                <w:szCs w:val="18"/>
              </w:rPr>
              <w:t xml:space="preserve"> of </w:t>
            </w:r>
            <w:r w:rsidRPr="00FF794F">
              <w:rPr>
                <w:rFonts w:ascii="Arial" w:hAnsi="Arial" w:cs="Arial"/>
                <w:i/>
                <w:iCs/>
                <w:sz w:val="18"/>
                <w:szCs w:val="18"/>
              </w:rPr>
              <w:t>classified information</w:t>
            </w:r>
            <w:r w:rsidRPr="00FF794F">
              <w:rPr>
                <w:rFonts w:ascii="Arial" w:hAnsi="Arial" w:cs="Arial"/>
                <w:sz w:val="18"/>
                <w:szCs w:val="18"/>
              </w:rPr>
              <w:t xml:space="preserve"> in Article 1(8) of </w:t>
            </w:r>
            <w:r>
              <w:rPr>
                <w:rFonts w:ascii="Arial" w:hAnsi="Arial" w:cs="Arial"/>
                <w:sz w:val="18"/>
                <w:szCs w:val="18"/>
              </w:rPr>
              <w:t xml:space="preserve">Defence </w:t>
            </w:r>
            <w:r w:rsidRPr="00FF794F">
              <w:rPr>
                <w:rFonts w:ascii="Arial" w:hAnsi="Arial" w:cs="Arial"/>
                <w:sz w:val="18"/>
                <w:szCs w:val="18"/>
              </w:rPr>
              <w:t xml:space="preserve">Directive. The EU definition </w:t>
            </w:r>
            <w:r w:rsidRPr="00FF794F">
              <w:rPr>
                <w:rFonts w:ascii="Arial" w:hAnsi="Arial" w:cs="Arial"/>
                <w:sz w:val="18"/>
                <w:szCs w:val="18"/>
              </w:rPr>
              <w:lastRenderedPageBreak/>
              <w:t xml:space="preserve">covers </w:t>
            </w:r>
            <w:r w:rsidRPr="006459BE">
              <w:rPr>
                <w:rFonts w:ascii="Arial" w:hAnsi="Arial" w:cs="Arial"/>
                <w:i/>
                <w:iCs/>
                <w:sz w:val="18"/>
                <w:szCs w:val="18"/>
              </w:rPr>
              <w:t>any information or material, regardless of the form, nature or mode of transmission thereof, to which a certain level of security classification or protection has been attributed, and which, in the interests of national security and in accordance with the laws, regulations or administrative provisions in force in the Member State concerned, requires protection against any misappropriation, destruction, removal, disclosure, loss or access by any unauthorised individual, or any other type of compromise</w:t>
            </w:r>
            <w:r w:rsidRPr="00FF794F">
              <w:rPr>
                <w:rFonts w:ascii="Arial" w:hAnsi="Arial" w:cs="Arial"/>
                <w:sz w:val="18"/>
                <w:szCs w:val="18"/>
              </w:rPr>
              <w:t>. To ensure full alignment with EU acquis, the definition should incorporate this wording.</w:t>
            </w:r>
            <w:r>
              <w:rPr>
                <w:rFonts w:ascii="Arial" w:hAnsi="Arial" w:cs="Arial"/>
                <w:sz w:val="18"/>
                <w:szCs w:val="18"/>
              </w:rPr>
              <w:t xml:space="preserve"> </w:t>
            </w:r>
          </w:p>
        </w:tc>
      </w:tr>
      <w:tr w:rsidR="008E40F6" w:rsidRPr="00F23ECC" w14:paraId="3AA55CD0" w14:textId="77777777" w:rsidTr="00715B97">
        <w:tc>
          <w:tcPr>
            <w:tcW w:w="1276" w:type="dxa"/>
          </w:tcPr>
          <w:p w14:paraId="4195BECD" w14:textId="77777777" w:rsidR="008E40F6" w:rsidRPr="00F23ECC" w:rsidRDefault="008E40F6" w:rsidP="00715B97">
            <w:pPr>
              <w:spacing w:before="0" w:after="60"/>
              <w:jc w:val="left"/>
              <w:rPr>
                <w:rFonts w:ascii="Arial" w:hAnsi="Arial" w:cs="Arial"/>
                <w:sz w:val="18"/>
                <w:szCs w:val="18"/>
              </w:rPr>
            </w:pPr>
            <w:r w:rsidRPr="00F23ECC">
              <w:rPr>
                <w:rFonts w:ascii="Arial" w:hAnsi="Arial" w:cs="Arial"/>
                <w:b/>
                <w:bCs/>
                <w:sz w:val="18"/>
                <w:szCs w:val="18"/>
              </w:rPr>
              <w:lastRenderedPageBreak/>
              <w:t>Art</w:t>
            </w:r>
            <w:r>
              <w:rPr>
                <w:rFonts w:ascii="Arial" w:hAnsi="Arial" w:cs="Arial"/>
                <w:b/>
                <w:bCs/>
                <w:sz w:val="18"/>
                <w:szCs w:val="18"/>
              </w:rPr>
              <w:t>icle 3(ss)</w:t>
            </w:r>
          </w:p>
        </w:tc>
        <w:tc>
          <w:tcPr>
            <w:tcW w:w="2410" w:type="dxa"/>
          </w:tcPr>
          <w:p w14:paraId="28C58967" w14:textId="77777777" w:rsidR="008E40F6" w:rsidRPr="00F23ECC" w:rsidRDefault="008E40F6" w:rsidP="00715B97">
            <w:pPr>
              <w:spacing w:before="0" w:after="60"/>
              <w:jc w:val="left"/>
              <w:rPr>
                <w:rFonts w:ascii="Arial" w:hAnsi="Arial" w:cs="Arial"/>
                <w:sz w:val="18"/>
                <w:szCs w:val="18"/>
              </w:rPr>
            </w:pPr>
            <w:r w:rsidRPr="00FC320C">
              <w:rPr>
                <w:rFonts w:ascii="Arial" w:hAnsi="Arial" w:cs="Arial"/>
                <w:sz w:val="18"/>
                <w:szCs w:val="18"/>
              </w:rPr>
              <w:t>Definition of public procurement contract</w:t>
            </w:r>
          </w:p>
        </w:tc>
        <w:tc>
          <w:tcPr>
            <w:tcW w:w="5386" w:type="dxa"/>
          </w:tcPr>
          <w:p w14:paraId="3D350078" w14:textId="77777777" w:rsidR="008E40F6" w:rsidRDefault="008E40F6" w:rsidP="00715B97">
            <w:pPr>
              <w:spacing w:before="0" w:after="60"/>
              <w:jc w:val="left"/>
              <w:rPr>
                <w:rFonts w:ascii="Arial" w:hAnsi="Arial" w:cs="Arial"/>
                <w:sz w:val="18"/>
                <w:szCs w:val="18"/>
              </w:rPr>
            </w:pPr>
            <w:r w:rsidRPr="00FC320C">
              <w:rPr>
                <w:rFonts w:ascii="Arial" w:hAnsi="Arial" w:cs="Arial"/>
                <w:sz w:val="18"/>
                <w:szCs w:val="18"/>
              </w:rPr>
              <w:t xml:space="preserve">The wording </w:t>
            </w:r>
            <w:r w:rsidRPr="00FC320C">
              <w:rPr>
                <w:rFonts w:ascii="Arial" w:hAnsi="Arial" w:cs="Arial"/>
                <w:i/>
                <w:iCs/>
                <w:sz w:val="18"/>
                <w:szCs w:val="18"/>
              </w:rPr>
              <w:t>„ugovor … ima za cilj“</w:t>
            </w:r>
            <w:r w:rsidRPr="00FC320C">
              <w:rPr>
                <w:rFonts w:ascii="Arial" w:hAnsi="Arial" w:cs="Arial"/>
                <w:sz w:val="18"/>
                <w:szCs w:val="18"/>
              </w:rPr>
              <w:t xml:space="preserve"> should be replaced with </w:t>
            </w:r>
            <w:r w:rsidRPr="00FC320C">
              <w:rPr>
                <w:rFonts w:ascii="Arial" w:hAnsi="Arial" w:cs="Arial"/>
                <w:i/>
                <w:iCs/>
                <w:sz w:val="18"/>
                <w:szCs w:val="18"/>
              </w:rPr>
              <w:t>„čiji je predmet“</w:t>
            </w:r>
            <w:r w:rsidRPr="00FC320C">
              <w:rPr>
                <w:rFonts w:ascii="Arial" w:hAnsi="Arial" w:cs="Arial"/>
                <w:sz w:val="18"/>
                <w:szCs w:val="18"/>
              </w:rPr>
              <w:t xml:space="preserve"> to align with the terminology of Directive 2014/24/EU (“having as its object”). </w:t>
            </w:r>
          </w:p>
          <w:p w14:paraId="355FE372" w14:textId="77777777" w:rsidR="008E40F6" w:rsidRPr="00F23ECC" w:rsidRDefault="008E40F6" w:rsidP="00715B97">
            <w:pPr>
              <w:spacing w:before="0" w:after="60"/>
              <w:jc w:val="left"/>
              <w:rPr>
                <w:rFonts w:ascii="Arial" w:hAnsi="Arial" w:cs="Arial"/>
                <w:sz w:val="18"/>
                <w:szCs w:val="18"/>
              </w:rPr>
            </w:pPr>
            <w:r w:rsidRPr="00FC320C">
              <w:rPr>
                <w:rFonts w:ascii="Arial" w:hAnsi="Arial" w:cs="Arial"/>
                <w:sz w:val="18"/>
                <w:szCs w:val="18"/>
              </w:rPr>
              <w:t xml:space="preserve">The definition of a </w:t>
            </w:r>
            <w:r w:rsidRPr="00FC320C">
              <w:rPr>
                <w:rFonts w:ascii="Arial" w:hAnsi="Arial" w:cs="Arial"/>
                <w:i/>
                <w:iCs/>
                <w:sz w:val="18"/>
                <w:szCs w:val="18"/>
              </w:rPr>
              <w:t>public works contract</w:t>
            </w:r>
            <w:r w:rsidRPr="00FC320C">
              <w:rPr>
                <w:rFonts w:ascii="Arial" w:hAnsi="Arial" w:cs="Arial"/>
                <w:sz w:val="18"/>
                <w:szCs w:val="18"/>
              </w:rPr>
              <w:t xml:space="preserve"> is not fully aligned with Article 2(1)(6) of Directive 2014/24/EU. The directive provides three elements that must be included: (a) execution or design and execution of works related to activities in Annex II; (b) execution or design and execution of a </w:t>
            </w:r>
            <w:r w:rsidRPr="00FC320C">
              <w:rPr>
                <w:rFonts w:ascii="Arial" w:hAnsi="Arial" w:cs="Arial"/>
                <w:i/>
                <w:iCs/>
                <w:sz w:val="18"/>
                <w:szCs w:val="18"/>
              </w:rPr>
              <w:t>work</w:t>
            </w:r>
            <w:r w:rsidRPr="00FC320C">
              <w:rPr>
                <w:rFonts w:ascii="Arial" w:hAnsi="Arial" w:cs="Arial"/>
                <w:sz w:val="18"/>
                <w:szCs w:val="18"/>
              </w:rPr>
              <w:t>; and (c) realisation, by whatever means, of a work corresponding to requirements defined by the contracting authority. The current draft fails to include the full concept of “execution of a work” and the requirement that the contracting authority exerts decisive influence on the type or design of the work. The definition should be amended to fully reflect the directive’s structure and terminology.</w:t>
            </w:r>
          </w:p>
        </w:tc>
      </w:tr>
      <w:tr w:rsidR="008E40F6" w:rsidRPr="00F23ECC" w14:paraId="4AF9D024" w14:textId="77777777" w:rsidTr="00715B97">
        <w:tc>
          <w:tcPr>
            <w:tcW w:w="1276" w:type="dxa"/>
          </w:tcPr>
          <w:p w14:paraId="74E66D94" w14:textId="77777777" w:rsidR="008E40F6" w:rsidRPr="00F23ECC" w:rsidRDefault="008E40F6" w:rsidP="00715B97">
            <w:pPr>
              <w:spacing w:before="0" w:after="60"/>
              <w:jc w:val="left"/>
              <w:rPr>
                <w:rFonts w:ascii="Arial" w:hAnsi="Arial" w:cs="Arial"/>
                <w:sz w:val="18"/>
                <w:szCs w:val="18"/>
              </w:rPr>
            </w:pPr>
            <w:r>
              <w:rPr>
                <w:rFonts w:ascii="Arial" w:hAnsi="Arial" w:cs="Arial"/>
                <w:b/>
                <w:bCs/>
                <w:sz w:val="18"/>
                <w:szCs w:val="18"/>
              </w:rPr>
              <w:t>Article 21(7)</w:t>
            </w:r>
          </w:p>
        </w:tc>
        <w:tc>
          <w:tcPr>
            <w:tcW w:w="2410" w:type="dxa"/>
          </w:tcPr>
          <w:p w14:paraId="4706B4AF" w14:textId="77777777" w:rsidR="008E40F6" w:rsidRPr="00F23ECC" w:rsidRDefault="008E40F6" w:rsidP="00715B97">
            <w:pPr>
              <w:spacing w:before="0" w:after="60"/>
              <w:jc w:val="left"/>
              <w:rPr>
                <w:rFonts w:ascii="Arial" w:hAnsi="Arial" w:cs="Arial"/>
                <w:sz w:val="18"/>
                <w:szCs w:val="18"/>
              </w:rPr>
            </w:pPr>
            <w:r w:rsidRPr="006F06C1">
              <w:rPr>
                <w:rFonts w:ascii="Arial" w:hAnsi="Arial" w:cs="Arial"/>
                <w:sz w:val="18"/>
                <w:szCs w:val="18"/>
              </w:rPr>
              <w:t>Status of contracting authority – financing-based criterion</w:t>
            </w:r>
          </w:p>
        </w:tc>
        <w:tc>
          <w:tcPr>
            <w:tcW w:w="5386" w:type="dxa"/>
          </w:tcPr>
          <w:p w14:paraId="674E8965" w14:textId="77777777" w:rsidR="008E40F6" w:rsidRPr="00F23ECC" w:rsidRDefault="008E40F6" w:rsidP="00715B97">
            <w:pPr>
              <w:spacing w:before="0" w:after="60"/>
              <w:jc w:val="left"/>
              <w:rPr>
                <w:rFonts w:ascii="Arial" w:hAnsi="Arial" w:cs="Arial"/>
                <w:sz w:val="18"/>
                <w:szCs w:val="18"/>
              </w:rPr>
            </w:pPr>
            <w:r w:rsidRPr="006F06C1">
              <w:rPr>
                <w:rFonts w:ascii="Arial" w:hAnsi="Arial" w:cs="Arial"/>
                <w:sz w:val="18"/>
                <w:szCs w:val="18"/>
              </w:rPr>
              <w:t xml:space="preserve">Paragraph (7) adds an additional financing-related condition for determining the status of a contracting authority, which is not foreseen in the EU directives. Under Article 2(4) of Directive 2014/24/EU and Article 22 of the </w:t>
            </w:r>
            <w:r>
              <w:rPr>
                <w:rFonts w:ascii="Arial" w:hAnsi="Arial" w:cs="Arial"/>
                <w:sz w:val="18"/>
                <w:szCs w:val="18"/>
              </w:rPr>
              <w:t>d</w:t>
            </w:r>
            <w:r w:rsidRPr="006F06C1">
              <w:rPr>
                <w:rFonts w:ascii="Arial" w:hAnsi="Arial" w:cs="Arial"/>
                <w:sz w:val="18"/>
                <w:szCs w:val="18"/>
              </w:rPr>
              <w:t xml:space="preserve">raft Law, public financing is only one of several </w:t>
            </w:r>
            <w:r w:rsidRPr="006F06C1">
              <w:rPr>
                <w:rFonts w:ascii="Arial" w:hAnsi="Arial" w:cs="Arial"/>
                <w:i/>
                <w:iCs/>
                <w:sz w:val="18"/>
                <w:szCs w:val="18"/>
              </w:rPr>
              <w:t>alternative</w:t>
            </w:r>
            <w:r w:rsidRPr="006F06C1">
              <w:rPr>
                <w:rFonts w:ascii="Arial" w:hAnsi="Arial" w:cs="Arial"/>
                <w:sz w:val="18"/>
                <w:szCs w:val="18"/>
              </w:rPr>
              <w:t xml:space="preserve"> criteria for identifying a body governed by public law</w:t>
            </w:r>
            <w:r>
              <w:rPr>
                <w:rFonts w:ascii="Arial" w:hAnsi="Arial" w:cs="Arial"/>
                <w:sz w:val="18"/>
                <w:szCs w:val="18"/>
              </w:rPr>
              <w:t xml:space="preserve"> </w:t>
            </w:r>
            <w:r w:rsidRPr="006F06C1">
              <w:rPr>
                <w:rFonts w:ascii="Arial" w:hAnsi="Arial" w:cs="Arial"/>
                <w:sz w:val="18"/>
                <w:szCs w:val="18"/>
              </w:rPr>
              <w:t xml:space="preserve">and is not a prevailing or mandatory condition. Introducing this standalone requirement distorts the Directive’s definition, creates inconsistency within the </w:t>
            </w:r>
            <w:r>
              <w:rPr>
                <w:rFonts w:ascii="Arial" w:hAnsi="Arial" w:cs="Arial"/>
                <w:sz w:val="18"/>
                <w:szCs w:val="18"/>
              </w:rPr>
              <w:t>d</w:t>
            </w:r>
            <w:r w:rsidRPr="006F06C1">
              <w:rPr>
                <w:rFonts w:ascii="Arial" w:hAnsi="Arial" w:cs="Arial"/>
                <w:sz w:val="18"/>
                <w:szCs w:val="18"/>
              </w:rPr>
              <w:t>raft Law and risks misclassification of contracting authorities. The provision should therefore be removed to ensure full consistency with EU rules.</w:t>
            </w:r>
          </w:p>
        </w:tc>
      </w:tr>
      <w:tr w:rsidR="008E40F6" w:rsidRPr="00F23ECC" w14:paraId="1F734589" w14:textId="77777777" w:rsidTr="00715B97">
        <w:tc>
          <w:tcPr>
            <w:tcW w:w="1276" w:type="dxa"/>
          </w:tcPr>
          <w:p w14:paraId="6CB2D6DB" w14:textId="77777777" w:rsidR="008E40F6" w:rsidRPr="00F23ECC" w:rsidRDefault="008E40F6" w:rsidP="00715B97">
            <w:pPr>
              <w:spacing w:before="0" w:after="60"/>
              <w:jc w:val="left"/>
              <w:rPr>
                <w:rFonts w:ascii="Arial" w:hAnsi="Arial" w:cs="Arial"/>
                <w:sz w:val="18"/>
                <w:szCs w:val="18"/>
              </w:rPr>
            </w:pPr>
            <w:r w:rsidRPr="00AC6A4F">
              <w:rPr>
                <w:rFonts w:ascii="Arial" w:hAnsi="Arial" w:cs="Arial"/>
                <w:b/>
                <w:bCs/>
                <w:sz w:val="18"/>
                <w:szCs w:val="18"/>
              </w:rPr>
              <w:t>Article 22(1)(b)</w:t>
            </w:r>
          </w:p>
        </w:tc>
        <w:tc>
          <w:tcPr>
            <w:tcW w:w="2410" w:type="dxa"/>
          </w:tcPr>
          <w:p w14:paraId="23E99156" w14:textId="77777777" w:rsidR="008E40F6" w:rsidRPr="00F23ECC" w:rsidRDefault="008E40F6" w:rsidP="00715B97">
            <w:pPr>
              <w:spacing w:before="0" w:after="60"/>
              <w:jc w:val="left"/>
              <w:rPr>
                <w:rFonts w:ascii="Arial" w:hAnsi="Arial" w:cs="Arial"/>
                <w:sz w:val="18"/>
                <w:szCs w:val="18"/>
              </w:rPr>
            </w:pPr>
            <w:r w:rsidRPr="00AC6A4F">
              <w:rPr>
                <w:rFonts w:ascii="Arial" w:hAnsi="Arial" w:cs="Arial"/>
                <w:sz w:val="18"/>
                <w:szCs w:val="18"/>
              </w:rPr>
              <w:t>Definition of bodies governed by public law</w:t>
            </w:r>
          </w:p>
        </w:tc>
        <w:tc>
          <w:tcPr>
            <w:tcW w:w="5386" w:type="dxa"/>
          </w:tcPr>
          <w:p w14:paraId="52795ACC" w14:textId="77777777" w:rsidR="008E40F6" w:rsidRDefault="008E40F6" w:rsidP="00715B97">
            <w:pPr>
              <w:spacing w:before="0" w:after="60"/>
              <w:jc w:val="left"/>
              <w:rPr>
                <w:rFonts w:ascii="Arial" w:hAnsi="Arial" w:cs="Arial"/>
                <w:sz w:val="18"/>
                <w:szCs w:val="18"/>
              </w:rPr>
            </w:pPr>
            <w:r w:rsidRPr="00AC6A4F">
              <w:rPr>
                <w:rFonts w:ascii="Arial" w:hAnsi="Arial" w:cs="Arial"/>
                <w:sz w:val="18"/>
                <w:szCs w:val="18"/>
              </w:rPr>
              <w:t xml:space="preserve">The definition of a body governed by public law diverges from Article 2(4) of Directive 2014/24/EU in several respects. </w:t>
            </w:r>
          </w:p>
          <w:p w14:paraId="149D13B0" w14:textId="77777777" w:rsidR="008E40F6" w:rsidRPr="00C64F73" w:rsidRDefault="008E40F6" w:rsidP="00715B97">
            <w:pPr>
              <w:spacing w:before="0" w:after="60"/>
              <w:jc w:val="left"/>
              <w:rPr>
                <w:rFonts w:ascii="Arial" w:hAnsi="Arial" w:cs="Arial"/>
                <w:sz w:val="18"/>
                <w:szCs w:val="18"/>
              </w:rPr>
            </w:pPr>
            <w:r w:rsidRPr="00C64F73">
              <w:rPr>
                <w:rFonts w:ascii="Arial" w:hAnsi="Arial" w:cs="Arial"/>
                <w:sz w:val="18"/>
                <w:szCs w:val="18"/>
              </w:rPr>
              <w:t xml:space="preserve">First, point (1)(b)(1) classifies an entity as a contracting authority if it is financed “in any amount” from public funds. The Directive requires that such entities are financed </w:t>
            </w:r>
            <w:r w:rsidRPr="00C64F73">
              <w:rPr>
                <w:rFonts w:ascii="Arial" w:hAnsi="Arial" w:cs="Arial"/>
                <w:i/>
                <w:iCs/>
                <w:sz w:val="18"/>
                <w:szCs w:val="18"/>
              </w:rPr>
              <w:t>“for the most part”</w:t>
            </w:r>
            <w:r w:rsidRPr="00C64F73">
              <w:rPr>
                <w:rFonts w:ascii="Arial" w:hAnsi="Arial" w:cs="Arial"/>
                <w:sz w:val="18"/>
                <w:szCs w:val="18"/>
              </w:rPr>
              <w:t xml:space="preserve"> by public authorities. Applying the criterion to any level of financing, however small, would incorrectly capture commercially oriented entities that do not meet the EU concept of systemic public dependence. </w:t>
            </w:r>
          </w:p>
          <w:p w14:paraId="6908F6AA" w14:textId="77777777" w:rsidR="008E40F6" w:rsidRPr="00C64F73" w:rsidRDefault="008E40F6" w:rsidP="00715B97">
            <w:pPr>
              <w:spacing w:before="0" w:after="60"/>
              <w:jc w:val="left"/>
              <w:rPr>
                <w:rFonts w:ascii="Arial" w:hAnsi="Arial" w:cs="Arial"/>
                <w:sz w:val="18"/>
                <w:szCs w:val="18"/>
              </w:rPr>
            </w:pPr>
            <w:r w:rsidRPr="00C64F73">
              <w:rPr>
                <w:rFonts w:ascii="Arial" w:hAnsi="Arial" w:cs="Arial"/>
                <w:sz w:val="18"/>
                <w:szCs w:val="18"/>
              </w:rPr>
              <w:t xml:space="preserve">Second, the supervision criterion (point (1)(b)(2)) refers only to management supervision by contracting authorities listed in point (a), whereas the Directive explicitly includes supervision by </w:t>
            </w:r>
            <w:r w:rsidRPr="00C64F73">
              <w:rPr>
                <w:rFonts w:ascii="Arial" w:hAnsi="Arial" w:cs="Arial"/>
                <w:i/>
                <w:iCs/>
                <w:sz w:val="18"/>
                <w:szCs w:val="18"/>
              </w:rPr>
              <w:t>other bodies governed by public law</w:t>
            </w:r>
            <w:r w:rsidRPr="00C64F73">
              <w:rPr>
                <w:rFonts w:ascii="Arial" w:hAnsi="Arial" w:cs="Arial"/>
                <w:sz w:val="18"/>
                <w:szCs w:val="18"/>
              </w:rPr>
              <w:t xml:space="preserve">. </w:t>
            </w:r>
          </w:p>
          <w:p w14:paraId="17EBCCA6" w14:textId="77777777" w:rsidR="008E40F6" w:rsidRDefault="008E40F6" w:rsidP="00715B97">
            <w:pPr>
              <w:spacing w:before="0" w:after="60"/>
              <w:jc w:val="left"/>
              <w:rPr>
                <w:rFonts w:ascii="Arial" w:hAnsi="Arial" w:cs="Arial"/>
                <w:sz w:val="18"/>
                <w:szCs w:val="18"/>
              </w:rPr>
            </w:pPr>
            <w:r w:rsidRPr="00C64F73">
              <w:rPr>
                <w:rFonts w:ascii="Arial" w:hAnsi="Arial" w:cs="Arial"/>
                <w:sz w:val="18"/>
                <w:szCs w:val="18"/>
              </w:rPr>
              <w:t>Third, the criterion for board appointment (point (1)(b)(3)) also restricts appointing authorities to those listed in point (a), while the Directive allows appointment by the State, regional or local authorities,</w:t>
            </w:r>
            <w:r w:rsidRPr="00C64F73">
              <w:rPr>
                <w:rFonts w:ascii="Arial" w:hAnsi="Arial" w:cs="Arial"/>
                <w:i/>
                <w:iCs/>
                <w:sz w:val="18"/>
                <w:szCs w:val="18"/>
              </w:rPr>
              <w:t xml:space="preserve"> or by other bodies</w:t>
            </w:r>
            <w:r w:rsidRPr="00AC6A4F">
              <w:rPr>
                <w:rFonts w:ascii="Arial" w:hAnsi="Arial" w:cs="Arial"/>
                <w:i/>
                <w:iCs/>
                <w:sz w:val="18"/>
                <w:szCs w:val="18"/>
              </w:rPr>
              <w:t xml:space="preserve"> governed by public law</w:t>
            </w:r>
            <w:r w:rsidRPr="00AC6A4F">
              <w:rPr>
                <w:rFonts w:ascii="Arial" w:hAnsi="Arial" w:cs="Arial"/>
                <w:sz w:val="18"/>
                <w:szCs w:val="18"/>
              </w:rPr>
              <w:t xml:space="preserve">. </w:t>
            </w:r>
          </w:p>
          <w:p w14:paraId="4C16BD91" w14:textId="77777777" w:rsidR="008E40F6" w:rsidRPr="00AC6A4F" w:rsidRDefault="008E40F6" w:rsidP="00715B97">
            <w:pPr>
              <w:spacing w:before="0" w:after="60"/>
              <w:jc w:val="left"/>
              <w:rPr>
                <w:rFonts w:ascii="Arial" w:hAnsi="Arial" w:cs="Arial"/>
                <w:sz w:val="18"/>
                <w:szCs w:val="18"/>
              </w:rPr>
            </w:pPr>
            <w:r w:rsidRPr="00AC6A4F">
              <w:rPr>
                <w:rFonts w:ascii="Arial" w:hAnsi="Arial" w:cs="Arial"/>
                <w:sz w:val="18"/>
                <w:szCs w:val="18"/>
              </w:rPr>
              <w:t>These deviations should be corrected to ensure full alignment with Article 2(4)(c) of Directive 2014/24/EU and avoid misclassification of entiti</w:t>
            </w:r>
            <w:r>
              <w:rPr>
                <w:rFonts w:ascii="Arial" w:hAnsi="Arial" w:cs="Arial"/>
                <w:sz w:val="18"/>
                <w:szCs w:val="18"/>
              </w:rPr>
              <w:t>es.</w:t>
            </w:r>
          </w:p>
        </w:tc>
      </w:tr>
      <w:tr w:rsidR="008E40F6" w:rsidRPr="00F23ECC" w14:paraId="42E3A7F2" w14:textId="77777777" w:rsidTr="00715B97">
        <w:tc>
          <w:tcPr>
            <w:tcW w:w="1276" w:type="dxa"/>
          </w:tcPr>
          <w:p w14:paraId="243F54CA" w14:textId="77777777" w:rsidR="008E40F6" w:rsidRPr="00F23ECC" w:rsidRDefault="008E40F6" w:rsidP="00715B97">
            <w:pPr>
              <w:spacing w:before="0" w:after="60"/>
              <w:jc w:val="left"/>
              <w:rPr>
                <w:rFonts w:ascii="Arial" w:hAnsi="Arial" w:cs="Arial"/>
                <w:sz w:val="18"/>
                <w:szCs w:val="18"/>
              </w:rPr>
            </w:pPr>
            <w:r>
              <w:rPr>
                <w:rFonts w:ascii="Arial" w:hAnsi="Arial" w:cs="Arial"/>
                <w:b/>
                <w:bCs/>
                <w:sz w:val="18"/>
                <w:szCs w:val="18"/>
              </w:rPr>
              <w:t>Article 31</w:t>
            </w:r>
          </w:p>
        </w:tc>
        <w:tc>
          <w:tcPr>
            <w:tcW w:w="2410" w:type="dxa"/>
          </w:tcPr>
          <w:p w14:paraId="2CA48FD1" w14:textId="77777777" w:rsidR="008E40F6" w:rsidRPr="00F23ECC" w:rsidRDefault="008E40F6" w:rsidP="00715B97">
            <w:pPr>
              <w:spacing w:before="0" w:after="60"/>
              <w:jc w:val="left"/>
              <w:rPr>
                <w:rFonts w:ascii="Arial" w:hAnsi="Arial" w:cs="Arial"/>
                <w:sz w:val="18"/>
                <w:szCs w:val="18"/>
              </w:rPr>
            </w:pPr>
            <w:r w:rsidRPr="00980DD9">
              <w:rPr>
                <w:rFonts w:ascii="Arial" w:hAnsi="Arial" w:cs="Arial"/>
                <w:sz w:val="18"/>
                <w:szCs w:val="18"/>
              </w:rPr>
              <w:t xml:space="preserve">Estimated value of </w:t>
            </w:r>
            <w:r w:rsidRPr="00980DD9">
              <w:rPr>
                <w:rFonts w:ascii="Arial" w:hAnsi="Arial" w:cs="Arial"/>
                <w:sz w:val="18"/>
                <w:szCs w:val="18"/>
              </w:rPr>
              <w:lastRenderedPageBreak/>
              <w:t>procurement – missing provision on small lots</w:t>
            </w:r>
          </w:p>
        </w:tc>
        <w:tc>
          <w:tcPr>
            <w:tcW w:w="5386" w:type="dxa"/>
          </w:tcPr>
          <w:p w14:paraId="402E14E0" w14:textId="77777777" w:rsidR="008E40F6" w:rsidRPr="00F23ECC" w:rsidRDefault="008E40F6" w:rsidP="00715B97">
            <w:pPr>
              <w:spacing w:before="0" w:after="60"/>
              <w:jc w:val="left"/>
              <w:rPr>
                <w:rFonts w:ascii="Arial" w:hAnsi="Arial" w:cs="Arial"/>
                <w:sz w:val="18"/>
                <w:szCs w:val="18"/>
              </w:rPr>
            </w:pPr>
            <w:r w:rsidRPr="00980DD9">
              <w:rPr>
                <w:rFonts w:ascii="Arial" w:hAnsi="Arial" w:cs="Arial"/>
                <w:sz w:val="18"/>
                <w:szCs w:val="18"/>
              </w:rPr>
              <w:lastRenderedPageBreak/>
              <w:t xml:space="preserve">The </w:t>
            </w:r>
            <w:r>
              <w:rPr>
                <w:rFonts w:ascii="Arial" w:hAnsi="Arial" w:cs="Arial"/>
                <w:sz w:val="18"/>
                <w:szCs w:val="18"/>
              </w:rPr>
              <w:t>d</w:t>
            </w:r>
            <w:r w:rsidRPr="00980DD9">
              <w:rPr>
                <w:rFonts w:ascii="Arial" w:hAnsi="Arial" w:cs="Arial"/>
                <w:sz w:val="18"/>
                <w:szCs w:val="18"/>
              </w:rPr>
              <w:t xml:space="preserve">raft Law does not transpose Article 5(10) of Directive </w:t>
            </w:r>
            <w:r w:rsidRPr="00980DD9">
              <w:rPr>
                <w:rFonts w:ascii="Arial" w:hAnsi="Arial" w:cs="Arial"/>
                <w:sz w:val="18"/>
                <w:szCs w:val="18"/>
              </w:rPr>
              <w:lastRenderedPageBreak/>
              <w:t>2014/24/EU, which permits contracting authorities to award individual lots without applying the full procedures of the Directive when the estimated value of each lot is below EUR 80,000 (supplies/services) or EUR 1 million (works), provided that the total value of such lots does not exceed 20% of the overall project. This exemption is an important flexibility mechanism for small lots. The missing provision should be incorporated to ensure full compliance and promote proportionality.</w:t>
            </w:r>
          </w:p>
        </w:tc>
      </w:tr>
      <w:tr w:rsidR="008E40F6" w:rsidRPr="00F23ECC" w14:paraId="7F23E0E1" w14:textId="77777777" w:rsidTr="00715B97">
        <w:tc>
          <w:tcPr>
            <w:tcW w:w="1276" w:type="dxa"/>
          </w:tcPr>
          <w:p w14:paraId="32AECF33" w14:textId="77777777" w:rsidR="008E40F6" w:rsidRPr="00F23ECC" w:rsidRDefault="008E40F6" w:rsidP="00715B97">
            <w:pPr>
              <w:spacing w:before="0" w:after="60"/>
              <w:jc w:val="left"/>
              <w:rPr>
                <w:rFonts w:ascii="Arial" w:hAnsi="Arial" w:cs="Arial"/>
                <w:sz w:val="18"/>
                <w:szCs w:val="18"/>
              </w:rPr>
            </w:pPr>
            <w:r w:rsidRPr="00463888">
              <w:rPr>
                <w:rFonts w:ascii="Arial" w:hAnsi="Arial" w:cs="Arial"/>
                <w:b/>
                <w:bCs/>
                <w:sz w:val="18"/>
                <w:szCs w:val="18"/>
              </w:rPr>
              <w:lastRenderedPageBreak/>
              <w:t>Article 53(1)(a)</w:t>
            </w:r>
          </w:p>
        </w:tc>
        <w:tc>
          <w:tcPr>
            <w:tcW w:w="2410" w:type="dxa"/>
          </w:tcPr>
          <w:p w14:paraId="774F9AA9" w14:textId="77777777" w:rsidR="008E40F6" w:rsidRPr="00F23ECC" w:rsidRDefault="008E40F6" w:rsidP="00715B97">
            <w:pPr>
              <w:spacing w:before="0" w:after="60"/>
              <w:jc w:val="left"/>
              <w:rPr>
                <w:rFonts w:ascii="Arial" w:hAnsi="Arial" w:cs="Arial"/>
                <w:sz w:val="18"/>
                <w:szCs w:val="18"/>
              </w:rPr>
            </w:pPr>
            <w:r w:rsidRPr="00463888">
              <w:rPr>
                <w:rFonts w:ascii="Arial" w:hAnsi="Arial" w:cs="Arial"/>
                <w:sz w:val="18"/>
                <w:szCs w:val="18"/>
              </w:rPr>
              <w:t>Exclusion for contracts awarded under international agreeme</w:t>
            </w:r>
            <w:r>
              <w:rPr>
                <w:rFonts w:ascii="Arial" w:hAnsi="Arial" w:cs="Arial"/>
                <w:sz w:val="18"/>
                <w:szCs w:val="18"/>
              </w:rPr>
              <w:t>nts</w:t>
            </w:r>
          </w:p>
        </w:tc>
        <w:tc>
          <w:tcPr>
            <w:tcW w:w="5386" w:type="dxa"/>
          </w:tcPr>
          <w:p w14:paraId="43ED3C02" w14:textId="77777777" w:rsidR="008E40F6" w:rsidRPr="00F23ECC" w:rsidRDefault="008E40F6" w:rsidP="00715B97">
            <w:pPr>
              <w:spacing w:before="0" w:after="60"/>
              <w:jc w:val="left"/>
              <w:rPr>
                <w:rFonts w:ascii="Arial" w:hAnsi="Arial" w:cs="Arial"/>
                <w:sz w:val="18"/>
                <w:szCs w:val="18"/>
              </w:rPr>
            </w:pPr>
            <w:r w:rsidRPr="00E00528">
              <w:rPr>
                <w:rFonts w:ascii="Arial" w:hAnsi="Arial" w:cs="Arial"/>
                <w:sz w:val="18"/>
                <w:szCs w:val="18"/>
              </w:rPr>
              <w:t xml:space="preserve">The provision does not clarify that, once Bosnia and Herzegovina accedes to the EU, this exclusion may only apply to international agreements concluded between BiH (as a future Member State) and </w:t>
            </w:r>
            <w:r w:rsidRPr="009E23E7">
              <w:rPr>
                <w:rFonts w:ascii="Arial" w:hAnsi="Arial" w:cs="Arial"/>
                <w:i/>
                <w:iCs/>
                <w:sz w:val="18"/>
                <w:szCs w:val="18"/>
              </w:rPr>
              <w:t>third countries</w:t>
            </w:r>
            <w:r w:rsidRPr="00E00528">
              <w:rPr>
                <w:rFonts w:ascii="Arial" w:hAnsi="Arial" w:cs="Arial"/>
                <w:sz w:val="18"/>
                <w:szCs w:val="18"/>
              </w:rPr>
              <w:t xml:space="preserve">. Under Article 9(1)(a) of Directive 2014/24/EU, exclusions for procurement governed by international rules apply only to agreements between Member States and </w:t>
            </w:r>
            <w:r w:rsidRPr="009E23E7">
              <w:rPr>
                <w:rFonts w:ascii="Arial" w:hAnsi="Arial" w:cs="Arial"/>
                <w:i/>
                <w:iCs/>
                <w:sz w:val="18"/>
                <w:szCs w:val="18"/>
              </w:rPr>
              <w:t>non-EU countries</w:t>
            </w:r>
            <w:r w:rsidRPr="00E00528">
              <w:rPr>
                <w:rFonts w:ascii="Arial" w:hAnsi="Arial" w:cs="Arial"/>
                <w:sz w:val="18"/>
                <w:szCs w:val="18"/>
              </w:rPr>
              <w:t>, not between Member States themselves. As drafted, the text could be interpreted as allowing exclusions for agreements with EU Member States even after accession, which would not be compliant with the acquis. The article should explicitly state that, upon EU accession, this exclusion will apply exclusively to agreements between BiH and third countries.</w:t>
            </w:r>
          </w:p>
        </w:tc>
      </w:tr>
      <w:tr w:rsidR="008E40F6" w:rsidRPr="00F23ECC" w14:paraId="562BF6C6" w14:textId="77777777" w:rsidTr="00715B97">
        <w:tc>
          <w:tcPr>
            <w:tcW w:w="1276" w:type="dxa"/>
          </w:tcPr>
          <w:p w14:paraId="1E7714DF" w14:textId="77777777" w:rsidR="008E40F6" w:rsidRPr="00F23ECC" w:rsidRDefault="008E40F6" w:rsidP="00715B97">
            <w:pPr>
              <w:spacing w:before="0" w:after="60"/>
              <w:jc w:val="left"/>
              <w:rPr>
                <w:rFonts w:ascii="Arial" w:hAnsi="Arial" w:cs="Arial"/>
                <w:sz w:val="18"/>
                <w:szCs w:val="18"/>
              </w:rPr>
            </w:pPr>
            <w:r w:rsidRPr="001C4E3C">
              <w:rPr>
                <w:rFonts w:ascii="Arial" w:hAnsi="Arial" w:cs="Arial"/>
                <w:b/>
                <w:bCs/>
                <w:sz w:val="18"/>
                <w:szCs w:val="18"/>
              </w:rPr>
              <w:t>Article 54(1)(b)</w:t>
            </w:r>
          </w:p>
        </w:tc>
        <w:tc>
          <w:tcPr>
            <w:tcW w:w="2410" w:type="dxa"/>
          </w:tcPr>
          <w:p w14:paraId="59686FAC" w14:textId="77777777" w:rsidR="008E40F6" w:rsidRPr="00F23ECC" w:rsidRDefault="008E40F6" w:rsidP="00715B97">
            <w:pPr>
              <w:spacing w:before="0" w:after="60"/>
              <w:jc w:val="left"/>
              <w:rPr>
                <w:rFonts w:ascii="Arial" w:hAnsi="Arial" w:cs="Arial"/>
                <w:sz w:val="18"/>
                <w:szCs w:val="18"/>
              </w:rPr>
            </w:pPr>
            <w:r w:rsidRPr="001C4E3C">
              <w:rPr>
                <w:rFonts w:ascii="Arial" w:hAnsi="Arial" w:cs="Arial"/>
                <w:sz w:val="18"/>
                <w:szCs w:val="18"/>
              </w:rPr>
              <w:t>Exclusion for contracts related to audiovisual and radio media services</w:t>
            </w:r>
          </w:p>
        </w:tc>
        <w:tc>
          <w:tcPr>
            <w:tcW w:w="5386" w:type="dxa"/>
          </w:tcPr>
          <w:p w14:paraId="16911053" w14:textId="77777777" w:rsidR="008E40F6" w:rsidRPr="00F23ECC" w:rsidRDefault="008E40F6" w:rsidP="00715B97">
            <w:pPr>
              <w:spacing w:before="0" w:after="60"/>
              <w:jc w:val="left"/>
              <w:rPr>
                <w:rFonts w:ascii="Arial" w:hAnsi="Arial" w:cs="Arial"/>
                <w:sz w:val="18"/>
                <w:szCs w:val="18"/>
              </w:rPr>
            </w:pPr>
            <w:r w:rsidRPr="001C4E3C">
              <w:rPr>
                <w:rFonts w:ascii="Arial" w:hAnsi="Arial" w:cs="Arial"/>
                <w:sz w:val="18"/>
                <w:szCs w:val="18"/>
              </w:rPr>
              <w:t xml:space="preserve">The provision incorrectly refers to </w:t>
            </w:r>
            <w:r w:rsidRPr="001C4E3C">
              <w:rPr>
                <w:rFonts w:ascii="Arial" w:hAnsi="Arial" w:cs="Arial"/>
                <w:i/>
                <w:iCs/>
                <w:sz w:val="18"/>
                <w:szCs w:val="18"/>
              </w:rPr>
              <w:t>“concessions for providing broadcasting services”</w:t>
            </w:r>
            <w:r w:rsidRPr="001C4E3C">
              <w:rPr>
                <w:rFonts w:ascii="Arial" w:hAnsi="Arial" w:cs="Arial"/>
                <w:sz w:val="18"/>
                <w:szCs w:val="18"/>
              </w:rPr>
              <w:t xml:space="preserve">. Under Article 10(b) of Directive 2014/24/EU, the exclusion applies to </w:t>
            </w:r>
            <w:r w:rsidRPr="009E23E7">
              <w:rPr>
                <w:rFonts w:ascii="Arial" w:hAnsi="Arial" w:cs="Arial"/>
                <w:i/>
                <w:iCs/>
                <w:sz w:val="18"/>
                <w:szCs w:val="18"/>
              </w:rPr>
              <w:t>contracts for broadcasting time or programme provision awarded to audiovisual or radio media service providers</w:t>
            </w:r>
            <w:r w:rsidRPr="001C4E3C">
              <w:rPr>
                <w:rFonts w:ascii="Arial" w:hAnsi="Arial" w:cs="Arial"/>
                <w:sz w:val="18"/>
                <w:szCs w:val="18"/>
              </w:rPr>
              <w:t xml:space="preserve">, not to concessions. The current drafting misinterprets the scope of the exclusion and should be amended to align with the Directive. </w:t>
            </w:r>
          </w:p>
        </w:tc>
      </w:tr>
      <w:tr w:rsidR="008E40F6" w:rsidRPr="00F23ECC" w14:paraId="1C423196" w14:textId="77777777" w:rsidTr="00715B97">
        <w:tc>
          <w:tcPr>
            <w:tcW w:w="1276" w:type="dxa"/>
          </w:tcPr>
          <w:p w14:paraId="6FA6F3BA" w14:textId="77777777" w:rsidR="008E40F6" w:rsidRPr="00F23ECC" w:rsidRDefault="008E40F6" w:rsidP="00715B97">
            <w:pPr>
              <w:spacing w:before="0" w:after="60"/>
              <w:jc w:val="left"/>
              <w:rPr>
                <w:rFonts w:ascii="Arial" w:hAnsi="Arial" w:cs="Arial"/>
                <w:sz w:val="18"/>
                <w:szCs w:val="18"/>
              </w:rPr>
            </w:pPr>
            <w:r w:rsidRPr="00C148BB">
              <w:rPr>
                <w:rFonts w:ascii="Arial" w:hAnsi="Arial" w:cs="Arial"/>
                <w:b/>
                <w:bCs/>
                <w:sz w:val="18"/>
                <w:szCs w:val="18"/>
              </w:rPr>
              <w:t>Article 51(1)(d)(</w:t>
            </w:r>
            <w:r>
              <w:rPr>
                <w:rFonts w:ascii="Arial" w:hAnsi="Arial" w:cs="Arial"/>
                <w:b/>
                <w:bCs/>
                <w:sz w:val="18"/>
                <w:szCs w:val="18"/>
              </w:rPr>
              <w:t>5</w:t>
            </w:r>
            <w:r w:rsidRPr="00C148BB">
              <w:rPr>
                <w:rFonts w:ascii="Arial" w:hAnsi="Arial" w:cs="Arial"/>
                <w:b/>
                <w:bCs/>
                <w:sz w:val="18"/>
                <w:szCs w:val="18"/>
              </w:rPr>
              <w:t>)</w:t>
            </w:r>
          </w:p>
        </w:tc>
        <w:tc>
          <w:tcPr>
            <w:tcW w:w="2410" w:type="dxa"/>
          </w:tcPr>
          <w:p w14:paraId="72E112B0" w14:textId="77777777" w:rsidR="008E40F6" w:rsidRPr="00F23ECC" w:rsidRDefault="008E40F6" w:rsidP="00715B97">
            <w:pPr>
              <w:spacing w:before="0" w:after="60"/>
              <w:jc w:val="left"/>
              <w:rPr>
                <w:rFonts w:ascii="Arial" w:hAnsi="Arial" w:cs="Arial"/>
                <w:sz w:val="18"/>
                <w:szCs w:val="18"/>
              </w:rPr>
            </w:pPr>
            <w:r w:rsidRPr="00237A9C">
              <w:rPr>
                <w:rFonts w:ascii="Arial" w:hAnsi="Arial" w:cs="Arial"/>
                <w:sz w:val="18"/>
                <w:szCs w:val="18"/>
              </w:rPr>
              <w:t>Exclusion for certain legal servi</w:t>
            </w:r>
            <w:r>
              <w:rPr>
                <w:rFonts w:ascii="Arial" w:hAnsi="Arial" w:cs="Arial"/>
                <w:sz w:val="18"/>
                <w:szCs w:val="18"/>
              </w:rPr>
              <w:t>ce</w:t>
            </w:r>
            <w:r w:rsidRPr="00F23ECC">
              <w:rPr>
                <w:rFonts w:ascii="Arial" w:hAnsi="Arial" w:cs="Arial"/>
                <w:sz w:val="18"/>
                <w:szCs w:val="18"/>
              </w:rPr>
              <w:t>s</w:t>
            </w:r>
          </w:p>
        </w:tc>
        <w:tc>
          <w:tcPr>
            <w:tcW w:w="5386" w:type="dxa"/>
          </w:tcPr>
          <w:p w14:paraId="3F96EE56" w14:textId="77777777" w:rsidR="008E40F6" w:rsidRPr="00F23ECC" w:rsidRDefault="008E40F6" w:rsidP="00715B97">
            <w:pPr>
              <w:spacing w:before="0" w:after="60"/>
              <w:jc w:val="left"/>
              <w:rPr>
                <w:rFonts w:ascii="Arial" w:hAnsi="Arial" w:cs="Arial"/>
                <w:sz w:val="18"/>
                <w:szCs w:val="18"/>
              </w:rPr>
            </w:pPr>
            <w:r w:rsidRPr="00237A9C">
              <w:rPr>
                <w:rFonts w:ascii="Arial" w:hAnsi="Arial" w:cs="Arial"/>
                <w:sz w:val="18"/>
                <w:szCs w:val="18"/>
              </w:rPr>
              <w:t>The draft</w:t>
            </w:r>
            <w:r>
              <w:rPr>
                <w:rFonts w:ascii="Arial" w:hAnsi="Arial" w:cs="Arial"/>
                <w:sz w:val="18"/>
                <w:szCs w:val="18"/>
              </w:rPr>
              <w:t xml:space="preserve"> Law</w:t>
            </w:r>
            <w:r w:rsidRPr="00237A9C">
              <w:rPr>
                <w:rFonts w:ascii="Arial" w:hAnsi="Arial" w:cs="Arial"/>
                <w:sz w:val="18"/>
                <w:szCs w:val="18"/>
              </w:rPr>
              <w:t xml:space="preserve"> limits the exclusion to legal services provided by “guardians or legal representatives of minors.” This misinterprets </w:t>
            </w:r>
            <w:r>
              <w:rPr>
                <w:rFonts w:ascii="Arial" w:hAnsi="Arial" w:cs="Arial"/>
                <w:sz w:val="18"/>
                <w:szCs w:val="18"/>
              </w:rPr>
              <w:t xml:space="preserve">Article 10(d)(iv) of the </w:t>
            </w:r>
            <w:r w:rsidRPr="00237A9C">
              <w:rPr>
                <w:rFonts w:ascii="Arial" w:hAnsi="Arial" w:cs="Arial"/>
                <w:sz w:val="18"/>
                <w:szCs w:val="18"/>
              </w:rPr>
              <w:t xml:space="preserve">Directive 2014/24/EU, which refers more broadly to </w:t>
            </w:r>
            <w:r w:rsidRPr="00327E5A">
              <w:rPr>
                <w:rFonts w:ascii="Arial" w:hAnsi="Arial" w:cs="Arial"/>
                <w:i/>
                <w:iCs/>
                <w:sz w:val="18"/>
                <w:szCs w:val="18"/>
              </w:rPr>
              <w:t>trustees or appointed guardians or other legal service providers designated by a court or tribunal, or by law, to carry out specific tasks under the supervision of such tribunals or courts.</w:t>
            </w:r>
            <w:r w:rsidRPr="00237A9C">
              <w:rPr>
                <w:rFonts w:ascii="Arial" w:hAnsi="Arial" w:cs="Arial"/>
                <w:sz w:val="18"/>
                <w:szCs w:val="18"/>
              </w:rPr>
              <w:t xml:space="preserve"> The wording narrows the scope and is not aligned with the Directive. The reference should be expanded to reflect the full range of court-appointed or legally designated providers, not only those representing min</w:t>
            </w:r>
            <w:r>
              <w:rPr>
                <w:rFonts w:ascii="Arial" w:hAnsi="Arial" w:cs="Arial"/>
                <w:sz w:val="18"/>
                <w:szCs w:val="18"/>
              </w:rPr>
              <w:t>ors</w:t>
            </w:r>
            <w:r w:rsidRPr="00F23ECC">
              <w:rPr>
                <w:rFonts w:ascii="Arial" w:hAnsi="Arial" w:cs="Arial"/>
                <w:sz w:val="18"/>
                <w:szCs w:val="18"/>
              </w:rPr>
              <w:t>.</w:t>
            </w:r>
          </w:p>
        </w:tc>
      </w:tr>
      <w:tr w:rsidR="008E40F6" w:rsidRPr="00F23ECC" w14:paraId="357CA277" w14:textId="77777777" w:rsidTr="00715B97">
        <w:tc>
          <w:tcPr>
            <w:tcW w:w="1276" w:type="dxa"/>
          </w:tcPr>
          <w:p w14:paraId="327500E3" w14:textId="77777777" w:rsidR="008E40F6" w:rsidRPr="00F23ECC" w:rsidRDefault="008E40F6" w:rsidP="00715B97">
            <w:pPr>
              <w:spacing w:before="0" w:after="60"/>
              <w:jc w:val="left"/>
              <w:rPr>
                <w:rFonts w:ascii="Arial" w:hAnsi="Arial" w:cs="Arial"/>
                <w:sz w:val="18"/>
                <w:szCs w:val="18"/>
              </w:rPr>
            </w:pPr>
            <w:r>
              <w:rPr>
                <w:rFonts w:ascii="Arial" w:hAnsi="Arial" w:cs="Arial"/>
                <w:b/>
                <w:bCs/>
                <w:sz w:val="18"/>
                <w:szCs w:val="18"/>
              </w:rPr>
              <w:t>Article 57</w:t>
            </w:r>
          </w:p>
        </w:tc>
        <w:tc>
          <w:tcPr>
            <w:tcW w:w="2410" w:type="dxa"/>
          </w:tcPr>
          <w:p w14:paraId="4DAFE38C" w14:textId="77777777" w:rsidR="008E40F6" w:rsidRPr="00F23ECC" w:rsidRDefault="008E40F6" w:rsidP="00715B97">
            <w:pPr>
              <w:spacing w:before="0" w:after="60"/>
              <w:jc w:val="left"/>
              <w:rPr>
                <w:rFonts w:ascii="Arial" w:hAnsi="Arial" w:cs="Arial"/>
                <w:sz w:val="18"/>
                <w:szCs w:val="18"/>
              </w:rPr>
            </w:pPr>
            <w:r w:rsidRPr="00253186">
              <w:rPr>
                <w:rFonts w:ascii="Arial" w:hAnsi="Arial" w:cs="Arial"/>
                <w:sz w:val="18"/>
                <w:szCs w:val="18"/>
              </w:rPr>
              <w:t>Specific exclusions for public contracting authoriti</w:t>
            </w:r>
            <w:r>
              <w:rPr>
                <w:rFonts w:ascii="Arial" w:hAnsi="Arial" w:cs="Arial"/>
                <w:sz w:val="18"/>
                <w:szCs w:val="18"/>
              </w:rPr>
              <w:t>es</w:t>
            </w:r>
          </w:p>
        </w:tc>
        <w:tc>
          <w:tcPr>
            <w:tcW w:w="5386" w:type="dxa"/>
          </w:tcPr>
          <w:p w14:paraId="6FB95EF4" w14:textId="77777777" w:rsidR="008E40F6" w:rsidRPr="00F23ECC" w:rsidRDefault="008E40F6" w:rsidP="00715B97">
            <w:pPr>
              <w:spacing w:before="0" w:after="60"/>
              <w:jc w:val="left"/>
              <w:rPr>
                <w:rFonts w:ascii="Arial" w:hAnsi="Arial" w:cs="Arial"/>
                <w:sz w:val="18"/>
                <w:szCs w:val="18"/>
              </w:rPr>
            </w:pPr>
            <w:r w:rsidRPr="00CF4A80">
              <w:rPr>
                <w:rFonts w:ascii="Arial" w:hAnsi="Arial" w:cs="Arial"/>
                <w:sz w:val="18"/>
                <w:szCs w:val="18"/>
              </w:rPr>
              <w:t>The exclusions listed under Article 57(1) exceed the scope of permissible exclusions under Directive 2014/24/EU. The activities described</w:t>
            </w:r>
            <w:r>
              <w:rPr>
                <w:rFonts w:ascii="Arial" w:hAnsi="Arial" w:cs="Arial"/>
                <w:sz w:val="18"/>
                <w:szCs w:val="18"/>
              </w:rPr>
              <w:t xml:space="preserve"> </w:t>
            </w:r>
            <w:r w:rsidRPr="00CF4A80">
              <w:rPr>
                <w:rFonts w:ascii="Arial" w:hAnsi="Arial" w:cs="Arial"/>
                <w:sz w:val="18"/>
                <w:szCs w:val="18"/>
              </w:rPr>
              <w:t>are not covered by the Directive’s closed list of exemptions</w:t>
            </w:r>
            <w:r>
              <w:rPr>
                <w:rFonts w:ascii="Arial" w:hAnsi="Arial" w:cs="Arial"/>
                <w:sz w:val="18"/>
                <w:szCs w:val="18"/>
              </w:rPr>
              <w:t xml:space="preserve"> </w:t>
            </w:r>
            <w:r w:rsidRPr="00CF4A80">
              <w:rPr>
                <w:rFonts w:ascii="Arial" w:hAnsi="Arial" w:cs="Arial"/>
                <w:sz w:val="18"/>
                <w:szCs w:val="18"/>
              </w:rPr>
              <w:t xml:space="preserve">and should be removed. </w:t>
            </w:r>
          </w:p>
        </w:tc>
      </w:tr>
      <w:tr w:rsidR="008E40F6" w:rsidRPr="00F23ECC" w14:paraId="781DF8E0" w14:textId="77777777" w:rsidTr="00715B97">
        <w:tc>
          <w:tcPr>
            <w:tcW w:w="1276" w:type="dxa"/>
          </w:tcPr>
          <w:p w14:paraId="09717165" w14:textId="77777777" w:rsidR="008E40F6" w:rsidRPr="00401F01" w:rsidRDefault="008E40F6" w:rsidP="00715B97">
            <w:pPr>
              <w:spacing w:before="0" w:after="60"/>
              <w:jc w:val="left"/>
              <w:rPr>
                <w:rFonts w:ascii="Arial" w:hAnsi="Arial" w:cs="Arial"/>
                <w:b/>
                <w:bCs/>
                <w:sz w:val="18"/>
                <w:szCs w:val="18"/>
              </w:rPr>
            </w:pPr>
            <w:r w:rsidRPr="00401F01">
              <w:rPr>
                <w:rFonts w:ascii="Arial" w:hAnsi="Arial" w:cs="Arial"/>
                <w:b/>
                <w:bCs/>
                <w:sz w:val="18"/>
                <w:szCs w:val="18"/>
              </w:rPr>
              <w:t>Article 63(b)</w:t>
            </w:r>
          </w:p>
        </w:tc>
        <w:tc>
          <w:tcPr>
            <w:tcW w:w="2410" w:type="dxa"/>
          </w:tcPr>
          <w:p w14:paraId="6017F214" w14:textId="77777777" w:rsidR="008E40F6" w:rsidRPr="00F23ECC" w:rsidRDefault="008E40F6" w:rsidP="00715B97">
            <w:pPr>
              <w:spacing w:before="0" w:after="60"/>
              <w:jc w:val="left"/>
              <w:rPr>
                <w:rFonts w:ascii="Arial" w:hAnsi="Arial" w:cs="Arial"/>
                <w:sz w:val="18"/>
                <w:szCs w:val="18"/>
              </w:rPr>
            </w:pPr>
            <w:r w:rsidRPr="00401F01">
              <w:rPr>
                <w:rFonts w:ascii="Arial" w:hAnsi="Arial" w:cs="Arial"/>
                <w:sz w:val="18"/>
                <w:szCs w:val="18"/>
              </w:rPr>
              <w:t>Exclusion for utility-sector contracting entities</w:t>
            </w:r>
          </w:p>
        </w:tc>
        <w:tc>
          <w:tcPr>
            <w:tcW w:w="5386" w:type="dxa"/>
          </w:tcPr>
          <w:p w14:paraId="11AEC08F" w14:textId="77777777" w:rsidR="008E40F6" w:rsidRPr="00F23ECC" w:rsidRDefault="008E40F6" w:rsidP="00715B97">
            <w:pPr>
              <w:spacing w:before="0" w:after="60"/>
              <w:jc w:val="left"/>
              <w:rPr>
                <w:rFonts w:ascii="Arial" w:hAnsi="Arial" w:cs="Arial"/>
                <w:sz w:val="18"/>
                <w:szCs w:val="18"/>
              </w:rPr>
            </w:pPr>
            <w:r w:rsidRPr="00401F01">
              <w:rPr>
                <w:rFonts w:ascii="Arial" w:hAnsi="Arial" w:cs="Arial"/>
                <w:sz w:val="18"/>
                <w:szCs w:val="18"/>
              </w:rPr>
              <w:t xml:space="preserve">The provision is incomplete and therefore not aligned with Article 23(b) of Directive 2014/25/EU. The Directive limits this exclusion </w:t>
            </w:r>
            <w:r w:rsidRPr="00DE253B">
              <w:rPr>
                <w:rFonts w:ascii="Arial" w:hAnsi="Arial" w:cs="Arial"/>
                <w:sz w:val="18"/>
                <w:szCs w:val="18"/>
              </w:rPr>
              <w:t>specifically</w:t>
            </w:r>
            <w:r w:rsidRPr="00DE253B">
              <w:rPr>
                <w:rFonts w:ascii="Arial" w:hAnsi="Arial" w:cs="Arial"/>
                <w:i/>
                <w:iCs/>
                <w:sz w:val="18"/>
                <w:szCs w:val="18"/>
              </w:rPr>
              <w:t xml:space="preserve"> to contracts for the supply of energy or fuels for the production of energy</w:t>
            </w:r>
            <w:r w:rsidRPr="00401F01">
              <w:rPr>
                <w:rFonts w:ascii="Arial" w:hAnsi="Arial" w:cs="Arial"/>
                <w:sz w:val="18"/>
                <w:szCs w:val="18"/>
              </w:rPr>
              <w:t xml:space="preserve">, awarded by contracting entities active in the energy sector. The </w:t>
            </w:r>
            <w:r>
              <w:rPr>
                <w:rFonts w:ascii="Arial" w:hAnsi="Arial" w:cs="Arial"/>
                <w:sz w:val="18"/>
                <w:szCs w:val="18"/>
              </w:rPr>
              <w:t>d</w:t>
            </w:r>
            <w:r w:rsidRPr="00401F01">
              <w:rPr>
                <w:rFonts w:ascii="Arial" w:hAnsi="Arial" w:cs="Arial"/>
                <w:sz w:val="18"/>
                <w:szCs w:val="18"/>
              </w:rPr>
              <w:t xml:space="preserve">raft Law omits this essential material limitation and instead formulates a broad exclusion based solely on the type of contracting entity. As drafted, the provision could be interpreted as exempting </w:t>
            </w:r>
            <w:r w:rsidRPr="00401F01">
              <w:rPr>
                <w:rFonts w:ascii="Arial" w:hAnsi="Arial" w:cs="Arial"/>
                <w:i/>
                <w:iCs/>
                <w:sz w:val="18"/>
                <w:szCs w:val="18"/>
              </w:rPr>
              <w:t>all</w:t>
            </w:r>
            <w:r w:rsidRPr="00401F01">
              <w:rPr>
                <w:rFonts w:ascii="Arial" w:hAnsi="Arial" w:cs="Arial"/>
                <w:sz w:val="18"/>
                <w:szCs w:val="18"/>
              </w:rPr>
              <w:t xml:space="preserve"> contracts awarded by utilities active in the energy sector, which would be contrary to the Directive. The text should be revised to clearly state that the exclusion applies </w:t>
            </w:r>
            <w:r w:rsidRPr="00DE253B">
              <w:rPr>
                <w:rFonts w:ascii="Arial" w:hAnsi="Arial" w:cs="Arial"/>
                <w:i/>
                <w:iCs/>
                <w:sz w:val="18"/>
                <w:szCs w:val="18"/>
              </w:rPr>
              <w:t>only</w:t>
            </w:r>
            <w:r w:rsidRPr="00401F01">
              <w:rPr>
                <w:rFonts w:ascii="Arial" w:hAnsi="Arial" w:cs="Arial"/>
                <w:sz w:val="18"/>
                <w:szCs w:val="18"/>
              </w:rPr>
              <w:t xml:space="preserve"> to contracts for the supply of energy or fuels for energy production.</w:t>
            </w:r>
          </w:p>
        </w:tc>
      </w:tr>
      <w:tr w:rsidR="008E40F6" w:rsidRPr="00F23ECC" w14:paraId="5B79F012" w14:textId="77777777" w:rsidTr="00715B97">
        <w:tc>
          <w:tcPr>
            <w:tcW w:w="1276" w:type="dxa"/>
          </w:tcPr>
          <w:p w14:paraId="30E19BCB" w14:textId="77777777" w:rsidR="008E40F6" w:rsidRPr="002F1F6A" w:rsidRDefault="008E40F6" w:rsidP="00715B97">
            <w:pPr>
              <w:spacing w:before="0" w:after="60"/>
              <w:jc w:val="left"/>
              <w:rPr>
                <w:rFonts w:ascii="Arial" w:hAnsi="Arial" w:cs="Arial"/>
                <w:b/>
                <w:bCs/>
                <w:sz w:val="18"/>
                <w:szCs w:val="18"/>
              </w:rPr>
            </w:pPr>
            <w:r w:rsidRPr="002F1F6A">
              <w:rPr>
                <w:rFonts w:ascii="Arial" w:hAnsi="Arial" w:cs="Arial"/>
                <w:b/>
                <w:bCs/>
                <w:sz w:val="18"/>
                <w:szCs w:val="18"/>
              </w:rPr>
              <w:t>Article 73(1)(g)</w:t>
            </w:r>
          </w:p>
        </w:tc>
        <w:tc>
          <w:tcPr>
            <w:tcW w:w="2410" w:type="dxa"/>
          </w:tcPr>
          <w:p w14:paraId="5A227C4F" w14:textId="77777777" w:rsidR="008E40F6" w:rsidRPr="00F23ECC" w:rsidRDefault="008E40F6" w:rsidP="00715B97">
            <w:pPr>
              <w:spacing w:before="0" w:after="60"/>
              <w:jc w:val="left"/>
              <w:rPr>
                <w:rFonts w:ascii="Arial" w:hAnsi="Arial" w:cs="Arial"/>
                <w:sz w:val="18"/>
                <w:szCs w:val="18"/>
              </w:rPr>
            </w:pPr>
            <w:r w:rsidRPr="002F1F6A">
              <w:rPr>
                <w:rFonts w:ascii="Arial" w:hAnsi="Arial" w:cs="Arial"/>
                <w:sz w:val="18"/>
                <w:szCs w:val="18"/>
              </w:rPr>
              <w:t>Defence/security exclusions — intelligence services</w:t>
            </w:r>
          </w:p>
        </w:tc>
        <w:tc>
          <w:tcPr>
            <w:tcW w:w="5386" w:type="dxa"/>
          </w:tcPr>
          <w:p w14:paraId="7807BA10" w14:textId="77777777" w:rsidR="008E40F6" w:rsidRPr="00F23ECC" w:rsidRDefault="008E40F6" w:rsidP="00715B97">
            <w:pPr>
              <w:spacing w:before="0" w:after="60"/>
              <w:jc w:val="left"/>
              <w:rPr>
                <w:rFonts w:ascii="Arial" w:hAnsi="Arial" w:cs="Arial"/>
                <w:sz w:val="18"/>
                <w:szCs w:val="18"/>
              </w:rPr>
            </w:pPr>
            <w:r w:rsidRPr="002F1F6A">
              <w:rPr>
                <w:rFonts w:ascii="Arial" w:hAnsi="Arial" w:cs="Arial"/>
                <w:sz w:val="18"/>
                <w:szCs w:val="18"/>
              </w:rPr>
              <w:t xml:space="preserve">The exclusion is incorrectly framed. The </w:t>
            </w:r>
            <w:r>
              <w:rPr>
                <w:rFonts w:ascii="Arial" w:hAnsi="Arial" w:cs="Arial"/>
                <w:sz w:val="18"/>
                <w:szCs w:val="18"/>
              </w:rPr>
              <w:t>d</w:t>
            </w:r>
            <w:r w:rsidRPr="002F1F6A">
              <w:rPr>
                <w:rFonts w:ascii="Arial" w:hAnsi="Arial" w:cs="Arial"/>
                <w:sz w:val="18"/>
                <w:szCs w:val="18"/>
              </w:rPr>
              <w:t xml:space="preserve">raft Law exempts contracts “for the needs of security-intelligence system bodies,” whereas Article 13(b) of Directive 2009/81/EC limits the </w:t>
            </w:r>
            <w:r w:rsidRPr="002F1F6A">
              <w:rPr>
                <w:rFonts w:ascii="Arial" w:hAnsi="Arial" w:cs="Arial"/>
                <w:sz w:val="18"/>
                <w:szCs w:val="18"/>
              </w:rPr>
              <w:lastRenderedPageBreak/>
              <w:t xml:space="preserve">exemption to </w:t>
            </w:r>
            <w:r w:rsidRPr="002F1F6A">
              <w:rPr>
                <w:rFonts w:ascii="Arial" w:hAnsi="Arial" w:cs="Arial"/>
                <w:i/>
                <w:iCs/>
                <w:sz w:val="18"/>
                <w:szCs w:val="18"/>
              </w:rPr>
              <w:t>contracts for the purposes of intelligence activities</w:t>
            </w:r>
            <w:r w:rsidRPr="002F1F6A">
              <w:rPr>
                <w:rFonts w:ascii="Arial" w:hAnsi="Arial" w:cs="Arial"/>
                <w:sz w:val="18"/>
                <w:szCs w:val="18"/>
              </w:rPr>
              <w:t xml:space="preserve">. The distinction is essential: the Directive does not exempt all procurement of intelligence institutions, but only procurement </w:t>
            </w:r>
            <w:r w:rsidRPr="002F1F6A">
              <w:rPr>
                <w:rFonts w:ascii="Arial" w:hAnsi="Arial" w:cs="Arial"/>
                <w:i/>
                <w:iCs/>
                <w:sz w:val="18"/>
                <w:szCs w:val="18"/>
              </w:rPr>
              <w:t>strictly linked to intelligence operations</w:t>
            </w:r>
            <w:r w:rsidRPr="002F1F6A">
              <w:rPr>
                <w:rFonts w:ascii="Arial" w:hAnsi="Arial" w:cs="Arial"/>
                <w:sz w:val="18"/>
                <w:szCs w:val="18"/>
              </w:rPr>
              <w:t>. The current wording is therefore too broad, risks unjustified exclusions from procurement rules and is not aligned with the acquis. The text should be revised to refer explicitly to “contracts for the purposes of intelligence activities,” consistent with Article 13(b).</w:t>
            </w:r>
          </w:p>
        </w:tc>
      </w:tr>
      <w:tr w:rsidR="008E40F6" w:rsidRPr="00F23ECC" w14:paraId="08E4890E" w14:textId="77777777" w:rsidTr="00715B97">
        <w:tc>
          <w:tcPr>
            <w:tcW w:w="1276" w:type="dxa"/>
          </w:tcPr>
          <w:p w14:paraId="6FFBD0E8" w14:textId="77777777" w:rsidR="008E40F6" w:rsidRPr="00321F89" w:rsidRDefault="008E40F6" w:rsidP="00715B97">
            <w:pPr>
              <w:spacing w:before="0" w:after="60"/>
              <w:jc w:val="left"/>
              <w:rPr>
                <w:rFonts w:ascii="Arial" w:hAnsi="Arial" w:cs="Arial"/>
                <w:b/>
                <w:bCs/>
                <w:sz w:val="18"/>
                <w:szCs w:val="18"/>
              </w:rPr>
            </w:pPr>
            <w:r w:rsidRPr="00321F89">
              <w:rPr>
                <w:rFonts w:ascii="Arial" w:hAnsi="Arial" w:cs="Arial"/>
                <w:b/>
                <w:bCs/>
                <w:sz w:val="18"/>
                <w:szCs w:val="18"/>
              </w:rPr>
              <w:lastRenderedPageBreak/>
              <w:t>Article 272</w:t>
            </w:r>
          </w:p>
        </w:tc>
        <w:tc>
          <w:tcPr>
            <w:tcW w:w="2410" w:type="dxa"/>
          </w:tcPr>
          <w:p w14:paraId="2A8A437A" w14:textId="77777777" w:rsidR="008E40F6" w:rsidRPr="00F23ECC" w:rsidRDefault="008E40F6" w:rsidP="00715B97">
            <w:pPr>
              <w:spacing w:before="0" w:after="60"/>
              <w:jc w:val="left"/>
              <w:rPr>
                <w:rFonts w:ascii="Arial" w:hAnsi="Arial" w:cs="Arial"/>
                <w:sz w:val="18"/>
                <w:szCs w:val="18"/>
              </w:rPr>
            </w:pPr>
            <w:r w:rsidRPr="00321F89">
              <w:rPr>
                <w:rFonts w:ascii="Arial" w:hAnsi="Arial" w:cs="Arial"/>
                <w:sz w:val="18"/>
                <w:szCs w:val="18"/>
              </w:rPr>
              <w:t>Contract award notice — withholding sensitive information</w:t>
            </w:r>
          </w:p>
        </w:tc>
        <w:tc>
          <w:tcPr>
            <w:tcW w:w="5386" w:type="dxa"/>
          </w:tcPr>
          <w:p w14:paraId="154B6814" w14:textId="77777777" w:rsidR="008E40F6" w:rsidRPr="00F23ECC" w:rsidRDefault="008E40F6" w:rsidP="00715B97">
            <w:pPr>
              <w:spacing w:before="0" w:after="60"/>
              <w:jc w:val="left"/>
              <w:rPr>
                <w:rFonts w:ascii="Arial" w:hAnsi="Arial" w:cs="Arial"/>
                <w:sz w:val="18"/>
                <w:szCs w:val="18"/>
              </w:rPr>
            </w:pPr>
            <w:r>
              <w:rPr>
                <w:rFonts w:ascii="Arial" w:hAnsi="Arial" w:cs="Arial"/>
                <w:sz w:val="18"/>
                <w:szCs w:val="18"/>
              </w:rPr>
              <w:t>A</w:t>
            </w:r>
            <w:r w:rsidRPr="00321F89">
              <w:rPr>
                <w:rFonts w:ascii="Arial" w:hAnsi="Arial" w:cs="Arial"/>
                <w:sz w:val="18"/>
                <w:szCs w:val="18"/>
              </w:rPr>
              <w:t>rticle 272 does not transpose Article 50(4) of Directive 2014/24/EU, which allows contracting authorities to withhold certain information from publication where disclosure would impede law enforcement, be contrary to the public interest, harm legitimate commercial interests, or prejudice fair competition. The absence of this safeguard creates risks for confidentiality, security and competition, and may place contracting authorities in breach of other legal obligations. The article should be amended to include an explicit provision permitting limited non-disclosure under the conditions set out in Article 50(4) of the Directiv</w:t>
            </w:r>
            <w:r>
              <w:rPr>
                <w:rFonts w:ascii="Arial" w:hAnsi="Arial" w:cs="Arial"/>
                <w:sz w:val="18"/>
                <w:szCs w:val="18"/>
              </w:rPr>
              <w:t>e.</w:t>
            </w:r>
          </w:p>
        </w:tc>
      </w:tr>
      <w:tr w:rsidR="008E40F6" w:rsidRPr="00F23ECC" w14:paraId="48FFA54B" w14:textId="77777777" w:rsidTr="00715B97">
        <w:tc>
          <w:tcPr>
            <w:tcW w:w="1276" w:type="dxa"/>
          </w:tcPr>
          <w:p w14:paraId="426AA3FF" w14:textId="77777777" w:rsidR="008E40F6" w:rsidRPr="007614B9" w:rsidRDefault="008E40F6" w:rsidP="00715B97">
            <w:pPr>
              <w:spacing w:before="0" w:after="60"/>
              <w:jc w:val="left"/>
              <w:rPr>
                <w:rFonts w:ascii="Arial" w:hAnsi="Arial" w:cs="Arial"/>
                <w:b/>
                <w:bCs/>
                <w:sz w:val="18"/>
                <w:szCs w:val="18"/>
              </w:rPr>
            </w:pPr>
            <w:r w:rsidRPr="007614B9">
              <w:rPr>
                <w:rFonts w:ascii="Arial" w:hAnsi="Arial" w:cs="Arial"/>
                <w:b/>
                <w:bCs/>
                <w:sz w:val="18"/>
                <w:szCs w:val="18"/>
              </w:rPr>
              <w:t>Article 279(2)</w:t>
            </w:r>
          </w:p>
        </w:tc>
        <w:tc>
          <w:tcPr>
            <w:tcW w:w="2410" w:type="dxa"/>
          </w:tcPr>
          <w:p w14:paraId="1022332C" w14:textId="77777777" w:rsidR="008E40F6" w:rsidRPr="00F23ECC" w:rsidRDefault="008E40F6" w:rsidP="00715B97">
            <w:pPr>
              <w:spacing w:before="0" w:after="60"/>
              <w:jc w:val="left"/>
              <w:rPr>
                <w:rFonts w:ascii="Arial" w:hAnsi="Arial" w:cs="Arial"/>
                <w:sz w:val="18"/>
                <w:szCs w:val="18"/>
              </w:rPr>
            </w:pPr>
            <w:r w:rsidRPr="007614B9">
              <w:rPr>
                <w:rFonts w:ascii="Arial" w:hAnsi="Arial" w:cs="Arial"/>
                <w:sz w:val="18"/>
                <w:szCs w:val="18"/>
              </w:rPr>
              <w:t>Requirement to hold specific authorisation or membership</w:t>
            </w:r>
          </w:p>
        </w:tc>
        <w:tc>
          <w:tcPr>
            <w:tcW w:w="5386" w:type="dxa"/>
          </w:tcPr>
          <w:p w14:paraId="0B11E80B" w14:textId="77777777" w:rsidR="008E40F6" w:rsidRPr="00F23ECC" w:rsidRDefault="008E40F6" w:rsidP="00715B97">
            <w:pPr>
              <w:spacing w:before="0" w:after="60"/>
              <w:jc w:val="left"/>
              <w:rPr>
                <w:rFonts w:ascii="Arial" w:hAnsi="Arial" w:cs="Arial"/>
                <w:sz w:val="18"/>
                <w:szCs w:val="18"/>
              </w:rPr>
            </w:pPr>
            <w:r w:rsidRPr="007614B9">
              <w:rPr>
                <w:rFonts w:ascii="Arial" w:hAnsi="Arial" w:cs="Arial"/>
                <w:sz w:val="18"/>
                <w:szCs w:val="18"/>
              </w:rPr>
              <w:t xml:space="preserve">The provision incorrectly extends the Directive’s rule to all types of procurement. Under Article 58(2), second subparagraph, of Directive 2014/24/EU, this requirement applies </w:t>
            </w:r>
            <w:r w:rsidRPr="00434DE0">
              <w:rPr>
                <w:rFonts w:ascii="Arial" w:hAnsi="Arial" w:cs="Arial"/>
                <w:i/>
                <w:iCs/>
                <w:sz w:val="18"/>
                <w:szCs w:val="18"/>
              </w:rPr>
              <w:t>only to procurement procedures for services</w:t>
            </w:r>
            <w:r w:rsidRPr="007614B9">
              <w:rPr>
                <w:rFonts w:ascii="Arial" w:hAnsi="Arial" w:cs="Arial"/>
                <w:sz w:val="18"/>
                <w:szCs w:val="18"/>
              </w:rPr>
              <w:t xml:space="preserve">. The draft </w:t>
            </w:r>
            <w:r>
              <w:rPr>
                <w:rFonts w:ascii="Arial" w:hAnsi="Arial" w:cs="Arial"/>
                <w:sz w:val="18"/>
                <w:szCs w:val="18"/>
              </w:rPr>
              <w:t>L</w:t>
            </w:r>
            <w:r w:rsidRPr="007614B9">
              <w:rPr>
                <w:rFonts w:ascii="Arial" w:hAnsi="Arial" w:cs="Arial"/>
                <w:sz w:val="18"/>
                <w:szCs w:val="18"/>
              </w:rPr>
              <w:t>aw allows contracting authorities to request authorisation or membership for any type of procurement, including supplies and works, which is not aligned with the Directive and may create unjustified barriers to participation. The article should be narrowed to reflect the Directive’s scope and apply solely to service contracts.</w:t>
            </w:r>
          </w:p>
        </w:tc>
      </w:tr>
      <w:tr w:rsidR="008E40F6" w:rsidRPr="00F23ECC" w14:paraId="28A9B94E" w14:textId="77777777" w:rsidTr="00715B97">
        <w:tc>
          <w:tcPr>
            <w:tcW w:w="1276" w:type="dxa"/>
          </w:tcPr>
          <w:p w14:paraId="12750A09" w14:textId="77777777" w:rsidR="008E40F6" w:rsidRPr="00CF31A3" w:rsidRDefault="008E40F6" w:rsidP="00715B97">
            <w:pPr>
              <w:spacing w:after="60"/>
              <w:rPr>
                <w:rFonts w:ascii="Arial" w:hAnsi="Arial" w:cs="Arial"/>
                <w:b/>
                <w:bCs/>
                <w:sz w:val="18"/>
                <w:szCs w:val="18"/>
              </w:rPr>
            </w:pPr>
            <w:r w:rsidRPr="00CF31A3">
              <w:rPr>
                <w:rFonts w:ascii="Arial" w:hAnsi="Arial" w:cs="Arial"/>
                <w:b/>
                <w:bCs/>
                <w:sz w:val="18"/>
                <w:szCs w:val="18"/>
              </w:rPr>
              <w:t>Article 293(9)</w:t>
            </w:r>
          </w:p>
        </w:tc>
        <w:tc>
          <w:tcPr>
            <w:tcW w:w="2410" w:type="dxa"/>
          </w:tcPr>
          <w:p w14:paraId="2F0EC24E" w14:textId="77777777" w:rsidR="008E40F6" w:rsidRPr="00F23ECC" w:rsidRDefault="008E40F6" w:rsidP="00715B97">
            <w:pPr>
              <w:spacing w:after="60"/>
              <w:rPr>
                <w:rFonts w:ascii="Arial" w:hAnsi="Arial" w:cs="Arial"/>
                <w:sz w:val="18"/>
                <w:szCs w:val="18"/>
              </w:rPr>
            </w:pPr>
            <w:r w:rsidRPr="00616B1B">
              <w:rPr>
                <w:rFonts w:ascii="Arial" w:hAnsi="Arial" w:cs="Arial"/>
                <w:sz w:val="18"/>
                <w:szCs w:val="18"/>
              </w:rPr>
              <w:t>Requirement for contractor to perform tasks directly</w:t>
            </w:r>
          </w:p>
        </w:tc>
        <w:tc>
          <w:tcPr>
            <w:tcW w:w="5386" w:type="dxa"/>
          </w:tcPr>
          <w:p w14:paraId="6440E54D" w14:textId="77777777" w:rsidR="008E40F6" w:rsidRPr="00F23ECC" w:rsidRDefault="008E40F6" w:rsidP="00715B97">
            <w:pPr>
              <w:spacing w:after="60"/>
              <w:jc w:val="left"/>
              <w:rPr>
                <w:rFonts w:ascii="Arial" w:hAnsi="Arial" w:cs="Arial"/>
                <w:sz w:val="18"/>
                <w:szCs w:val="18"/>
              </w:rPr>
            </w:pPr>
            <w:r w:rsidRPr="00616B1B">
              <w:rPr>
                <w:rFonts w:ascii="Arial" w:hAnsi="Arial" w:cs="Arial"/>
                <w:sz w:val="18"/>
                <w:szCs w:val="18"/>
              </w:rPr>
              <w:t xml:space="preserve">The draft allows contracting authorities to require that “certain tasks or activities” be performed directly by the </w:t>
            </w:r>
            <w:r>
              <w:rPr>
                <w:rFonts w:ascii="Arial" w:hAnsi="Arial" w:cs="Arial"/>
                <w:sz w:val="18"/>
                <w:szCs w:val="18"/>
              </w:rPr>
              <w:t>tenderer</w:t>
            </w:r>
            <w:r w:rsidRPr="00616B1B">
              <w:rPr>
                <w:rFonts w:ascii="Arial" w:hAnsi="Arial" w:cs="Arial"/>
                <w:sz w:val="18"/>
                <w:szCs w:val="18"/>
              </w:rPr>
              <w:t xml:space="preserve"> or a member of a </w:t>
            </w:r>
            <w:r>
              <w:rPr>
                <w:rFonts w:ascii="Arial" w:hAnsi="Arial" w:cs="Arial"/>
                <w:sz w:val="18"/>
                <w:szCs w:val="18"/>
              </w:rPr>
              <w:t>group of economic operators</w:t>
            </w:r>
            <w:r w:rsidRPr="00616B1B">
              <w:rPr>
                <w:rFonts w:ascii="Arial" w:hAnsi="Arial" w:cs="Arial"/>
                <w:sz w:val="18"/>
                <w:szCs w:val="18"/>
              </w:rPr>
              <w:t xml:space="preserve">. However, Article 63(2) of Directive 2014/24/EU permits such a requirement </w:t>
            </w:r>
            <w:r w:rsidRPr="00434DE0">
              <w:rPr>
                <w:rFonts w:ascii="Arial" w:hAnsi="Arial" w:cs="Arial"/>
                <w:sz w:val="18"/>
                <w:szCs w:val="18"/>
              </w:rPr>
              <w:t xml:space="preserve">only for </w:t>
            </w:r>
            <w:r w:rsidRPr="00434DE0">
              <w:rPr>
                <w:rFonts w:ascii="Arial" w:hAnsi="Arial" w:cs="Arial"/>
                <w:i/>
                <w:iCs/>
                <w:sz w:val="18"/>
                <w:szCs w:val="18"/>
              </w:rPr>
              <w:t>certain critical tasks</w:t>
            </w:r>
            <w:r w:rsidRPr="00616B1B">
              <w:rPr>
                <w:rFonts w:ascii="Arial" w:hAnsi="Arial" w:cs="Arial"/>
                <w:sz w:val="18"/>
                <w:szCs w:val="18"/>
              </w:rPr>
              <w:t xml:space="preserve">. The draft omits this essential qualifier, significantly broadening the discretion of contracting authorities and risking disproportionate restrictions on subcontracting. To align with the Directive, the provision should explicitly state that only </w:t>
            </w:r>
            <w:r w:rsidRPr="00616B1B">
              <w:rPr>
                <w:rFonts w:ascii="Arial" w:hAnsi="Arial" w:cs="Arial"/>
                <w:i/>
                <w:iCs/>
                <w:sz w:val="18"/>
                <w:szCs w:val="18"/>
              </w:rPr>
              <w:t>critical tasks</w:t>
            </w:r>
            <w:r>
              <w:rPr>
                <w:rFonts w:ascii="Arial" w:hAnsi="Arial" w:cs="Arial"/>
                <w:i/>
                <w:iCs/>
                <w:sz w:val="18"/>
                <w:szCs w:val="18"/>
              </w:rPr>
              <w:t xml:space="preserve"> </w:t>
            </w:r>
            <w:r w:rsidRPr="00616B1B">
              <w:rPr>
                <w:rFonts w:ascii="Arial" w:hAnsi="Arial" w:cs="Arial"/>
                <w:sz w:val="18"/>
                <w:szCs w:val="18"/>
              </w:rPr>
              <w:t>may be required to be performed directly by the tenderer.</w:t>
            </w:r>
          </w:p>
        </w:tc>
      </w:tr>
      <w:tr w:rsidR="008E40F6" w:rsidRPr="00F23ECC" w14:paraId="2BA03136" w14:textId="77777777" w:rsidTr="00715B97">
        <w:tc>
          <w:tcPr>
            <w:tcW w:w="1276" w:type="dxa"/>
          </w:tcPr>
          <w:p w14:paraId="1236A241" w14:textId="77777777" w:rsidR="008E40F6" w:rsidRPr="00CF31A3" w:rsidRDefault="008E40F6" w:rsidP="00715B97">
            <w:pPr>
              <w:spacing w:after="60"/>
              <w:rPr>
                <w:rFonts w:ascii="Arial" w:hAnsi="Arial" w:cs="Arial"/>
                <w:b/>
                <w:bCs/>
                <w:sz w:val="18"/>
                <w:szCs w:val="18"/>
              </w:rPr>
            </w:pPr>
            <w:r w:rsidRPr="00CF31A3">
              <w:rPr>
                <w:rFonts w:ascii="Arial" w:hAnsi="Arial" w:cs="Arial"/>
                <w:b/>
                <w:bCs/>
                <w:sz w:val="18"/>
                <w:szCs w:val="18"/>
              </w:rPr>
              <w:t>Article 315</w:t>
            </w:r>
          </w:p>
        </w:tc>
        <w:tc>
          <w:tcPr>
            <w:tcW w:w="2410" w:type="dxa"/>
          </w:tcPr>
          <w:p w14:paraId="54FB64F0" w14:textId="77777777" w:rsidR="008E40F6" w:rsidRPr="00F23ECC" w:rsidRDefault="008E40F6" w:rsidP="00715B97">
            <w:pPr>
              <w:spacing w:after="60"/>
              <w:rPr>
                <w:rFonts w:ascii="Arial" w:hAnsi="Arial" w:cs="Arial"/>
                <w:sz w:val="18"/>
                <w:szCs w:val="18"/>
              </w:rPr>
            </w:pPr>
            <w:r>
              <w:rPr>
                <w:rFonts w:ascii="Arial" w:hAnsi="Arial" w:cs="Arial"/>
                <w:sz w:val="18"/>
                <w:szCs w:val="18"/>
              </w:rPr>
              <w:t>Rejection of tenders</w:t>
            </w:r>
          </w:p>
        </w:tc>
        <w:tc>
          <w:tcPr>
            <w:tcW w:w="5386" w:type="dxa"/>
          </w:tcPr>
          <w:p w14:paraId="4B5C3669" w14:textId="77777777" w:rsidR="008E40F6" w:rsidRPr="00F23ECC" w:rsidRDefault="008E40F6" w:rsidP="00715B97">
            <w:pPr>
              <w:spacing w:after="60"/>
              <w:rPr>
                <w:rFonts w:ascii="Arial" w:hAnsi="Arial" w:cs="Arial"/>
                <w:sz w:val="18"/>
                <w:szCs w:val="18"/>
              </w:rPr>
            </w:pPr>
            <w:r w:rsidRPr="00695BCB">
              <w:rPr>
                <w:rFonts w:ascii="Arial" w:hAnsi="Arial" w:cs="Arial"/>
                <w:sz w:val="18"/>
                <w:szCs w:val="18"/>
              </w:rPr>
              <w:t xml:space="preserve">The </w:t>
            </w:r>
            <w:r>
              <w:rPr>
                <w:rFonts w:ascii="Arial" w:hAnsi="Arial" w:cs="Arial"/>
                <w:sz w:val="18"/>
                <w:szCs w:val="18"/>
              </w:rPr>
              <w:t>d</w:t>
            </w:r>
            <w:r w:rsidRPr="00695BCB">
              <w:rPr>
                <w:rFonts w:ascii="Arial" w:hAnsi="Arial" w:cs="Arial"/>
                <w:sz w:val="18"/>
                <w:szCs w:val="18"/>
              </w:rPr>
              <w:t>raft Law does not transpose the second subparagraph of Article 56(1) of Directive 2014/24/EU. Under the Directive, contracting authorities may refuse to award a contract to the tenderer submitting the most economically advantageous tender if the tender does not comply with the applicable environmental, social, or labour obligations referred to in Article 18(2). This omission creates a gap in alignment with EU law and restricts the ability of contracting authorities to reject tenders that violate mandatory obligations. The missing provision should be added to ensure full compliance with Article 56(1) of the Directive.</w:t>
            </w:r>
          </w:p>
        </w:tc>
      </w:tr>
      <w:tr w:rsidR="008E40F6" w:rsidRPr="00F23ECC" w14:paraId="5B4A02C7" w14:textId="77777777" w:rsidTr="00715B97">
        <w:tc>
          <w:tcPr>
            <w:tcW w:w="1276" w:type="dxa"/>
          </w:tcPr>
          <w:p w14:paraId="3B8CC101" w14:textId="77777777" w:rsidR="008E40F6" w:rsidRPr="00F23ECC" w:rsidRDefault="008E40F6" w:rsidP="00715B97">
            <w:pPr>
              <w:spacing w:after="60"/>
              <w:rPr>
                <w:rFonts w:ascii="Arial" w:hAnsi="Arial" w:cs="Arial"/>
                <w:b/>
                <w:bCs/>
                <w:sz w:val="18"/>
                <w:szCs w:val="18"/>
              </w:rPr>
            </w:pPr>
            <w:r>
              <w:rPr>
                <w:rFonts w:ascii="Arial" w:hAnsi="Arial" w:cs="Arial"/>
                <w:b/>
                <w:bCs/>
                <w:sz w:val="18"/>
                <w:szCs w:val="18"/>
              </w:rPr>
              <w:t>Article 321</w:t>
            </w:r>
          </w:p>
        </w:tc>
        <w:tc>
          <w:tcPr>
            <w:tcW w:w="2410" w:type="dxa"/>
          </w:tcPr>
          <w:p w14:paraId="21D51BC8" w14:textId="77777777" w:rsidR="008E40F6" w:rsidRPr="00F23ECC" w:rsidRDefault="008E40F6" w:rsidP="00715B97">
            <w:pPr>
              <w:spacing w:after="60"/>
              <w:rPr>
                <w:rFonts w:ascii="Arial" w:hAnsi="Arial" w:cs="Arial"/>
                <w:sz w:val="18"/>
                <w:szCs w:val="18"/>
              </w:rPr>
            </w:pPr>
            <w:r w:rsidRPr="008A490B">
              <w:rPr>
                <w:rFonts w:ascii="Arial" w:hAnsi="Arial" w:cs="Arial"/>
                <w:sz w:val="18"/>
                <w:szCs w:val="18"/>
              </w:rPr>
              <w:t>General provisions on decisions</w:t>
            </w:r>
          </w:p>
        </w:tc>
        <w:tc>
          <w:tcPr>
            <w:tcW w:w="5386" w:type="dxa"/>
          </w:tcPr>
          <w:p w14:paraId="07978806" w14:textId="77777777" w:rsidR="008E40F6" w:rsidRPr="00F23ECC" w:rsidRDefault="008E40F6" w:rsidP="00715B97">
            <w:pPr>
              <w:spacing w:after="60"/>
              <w:jc w:val="left"/>
              <w:rPr>
                <w:rFonts w:ascii="Arial" w:hAnsi="Arial" w:cs="Arial"/>
                <w:sz w:val="18"/>
                <w:szCs w:val="18"/>
              </w:rPr>
            </w:pPr>
            <w:r w:rsidRPr="008A490B">
              <w:rPr>
                <w:rFonts w:ascii="Arial" w:hAnsi="Arial" w:cs="Arial"/>
                <w:sz w:val="18"/>
                <w:szCs w:val="18"/>
              </w:rPr>
              <w:t xml:space="preserve">The </w:t>
            </w:r>
            <w:r>
              <w:rPr>
                <w:rFonts w:ascii="Arial" w:hAnsi="Arial" w:cs="Arial"/>
                <w:sz w:val="18"/>
                <w:szCs w:val="18"/>
              </w:rPr>
              <w:t>d</w:t>
            </w:r>
            <w:r w:rsidRPr="008A490B">
              <w:rPr>
                <w:rFonts w:ascii="Arial" w:hAnsi="Arial" w:cs="Arial"/>
                <w:sz w:val="18"/>
                <w:szCs w:val="18"/>
              </w:rPr>
              <w:t>raft Law does not transpose Article 55(3) of Directive 2014/24/EU. Under the Directive, contracting authorities may withhold certain information on decisions (e.g., contract award, framework agreement conclusion, DPS admittance) where disclosure would impede law enforcement, contradict public interest, prejudice legitimate commercial interests of an economic operator, or distort fair competition. The absence of this provision restricts contracting authorities’ ability to protect sensitive information and creates misalignment with Article 55(3) of the Directive. The missing rule should be incorporated.</w:t>
            </w:r>
          </w:p>
        </w:tc>
      </w:tr>
      <w:tr w:rsidR="008E40F6" w:rsidRPr="00F23ECC" w14:paraId="4F704A08" w14:textId="77777777" w:rsidTr="00715B97">
        <w:tc>
          <w:tcPr>
            <w:tcW w:w="1276" w:type="dxa"/>
          </w:tcPr>
          <w:p w14:paraId="415979C3" w14:textId="77777777" w:rsidR="008E40F6" w:rsidRDefault="008E40F6" w:rsidP="00715B97">
            <w:pPr>
              <w:spacing w:after="60"/>
              <w:rPr>
                <w:rFonts w:ascii="Arial" w:hAnsi="Arial" w:cs="Arial"/>
                <w:b/>
                <w:bCs/>
                <w:sz w:val="18"/>
                <w:szCs w:val="18"/>
              </w:rPr>
            </w:pPr>
            <w:r w:rsidRPr="00E950BA">
              <w:rPr>
                <w:rFonts w:ascii="Arial" w:hAnsi="Arial" w:cs="Arial"/>
                <w:b/>
                <w:bCs/>
                <w:sz w:val="18"/>
                <w:szCs w:val="18"/>
              </w:rPr>
              <w:lastRenderedPageBreak/>
              <w:t xml:space="preserve">Articles 342–345 </w:t>
            </w:r>
          </w:p>
        </w:tc>
        <w:tc>
          <w:tcPr>
            <w:tcW w:w="2410" w:type="dxa"/>
          </w:tcPr>
          <w:p w14:paraId="20A11624" w14:textId="77777777" w:rsidR="008E40F6" w:rsidRPr="00E950BA" w:rsidRDefault="008E40F6" w:rsidP="00715B97">
            <w:pPr>
              <w:spacing w:after="60"/>
              <w:jc w:val="left"/>
              <w:rPr>
                <w:rFonts w:ascii="Arial" w:hAnsi="Arial" w:cs="Arial"/>
                <w:sz w:val="18"/>
                <w:szCs w:val="18"/>
              </w:rPr>
            </w:pPr>
            <w:r w:rsidRPr="00E950BA">
              <w:rPr>
                <w:rFonts w:ascii="Arial" w:hAnsi="Arial" w:cs="Arial"/>
                <w:sz w:val="18"/>
                <w:szCs w:val="18"/>
              </w:rPr>
              <w:t>Permitted modifications of contracts during their term</w:t>
            </w:r>
          </w:p>
        </w:tc>
        <w:tc>
          <w:tcPr>
            <w:tcW w:w="5386" w:type="dxa"/>
          </w:tcPr>
          <w:p w14:paraId="5EDB36EC" w14:textId="77777777" w:rsidR="008E40F6" w:rsidRDefault="008E40F6" w:rsidP="00715B97">
            <w:pPr>
              <w:spacing w:after="60"/>
              <w:jc w:val="left"/>
              <w:rPr>
                <w:rFonts w:ascii="Arial" w:hAnsi="Arial" w:cs="Arial"/>
                <w:sz w:val="18"/>
                <w:szCs w:val="18"/>
              </w:rPr>
            </w:pPr>
            <w:r w:rsidRPr="00E950BA">
              <w:rPr>
                <w:rFonts w:ascii="Arial" w:hAnsi="Arial" w:cs="Arial"/>
                <w:sz w:val="18"/>
                <w:szCs w:val="18"/>
              </w:rPr>
              <w:t xml:space="preserve">The </w:t>
            </w:r>
            <w:r>
              <w:rPr>
                <w:rFonts w:ascii="Arial" w:hAnsi="Arial" w:cs="Arial"/>
                <w:sz w:val="18"/>
                <w:szCs w:val="18"/>
              </w:rPr>
              <w:t>d</w:t>
            </w:r>
            <w:r w:rsidRPr="00E950BA">
              <w:rPr>
                <w:rFonts w:ascii="Arial" w:hAnsi="Arial" w:cs="Arial"/>
                <w:sz w:val="18"/>
                <w:szCs w:val="18"/>
              </w:rPr>
              <w:t xml:space="preserve">raft Law does not transpose two key categories of permissible contract modifications under Article 72 of Directive 2014/24/EU. </w:t>
            </w:r>
          </w:p>
          <w:p w14:paraId="1AD6DF64" w14:textId="77777777" w:rsidR="008E40F6" w:rsidRDefault="008E40F6" w:rsidP="00715B97">
            <w:pPr>
              <w:spacing w:after="60"/>
              <w:jc w:val="left"/>
              <w:rPr>
                <w:rFonts w:ascii="Arial" w:hAnsi="Arial" w:cs="Arial"/>
                <w:sz w:val="18"/>
                <w:szCs w:val="18"/>
              </w:rPr>
            </w:pPr>
            <w:r w:rsidRPr="00434DE0">
              <w:rPr>
                <w:rFonts w:ascii="Arial" w:hAnsi="Arial" w:cs="Arial"/>
                <w:sz w:val="18"/>
                <w:szCs w:val="18"/>
              </w:rPr>
              <w:t>First</w:t>
            </w:r>
            <w:r w:rsidRPr="00E950BA">
              <w:rPr>
                <w:rFonts w:ascii="Arial" w:hAnsi="Arial" w:cs="Arial"/>
                <w:sz w:val="18"/>
                <w:szCs w:val="18"/>
              </w:rPr>
              <w:t xml:space="preserve">, the </w:t>
            </w:r>
            <w:r w:rsidRPr="00E950BA">
              <w:rPr>
                <w:rFonts w:ascii="Arial" w:hAnsi="Arial" w:cs="Arial"/>
                <w:i/>
                <w:iCs/>
                <w:sz w:val="18"/>
                <w:szCs w:val="18"/>
              </w:rPr>
              <w:t>de minimis</w:t>
            </w:r>
            <w:r w:rsidRPr="00E950BA">
              <w:rPr>
                <w:rFonts w:ascii="Arial" w:hAnsi="Arial" w:cs="Arial"/>
                <w:sz w:val="18"/>
                <w:szCs w:val="18"/>
              </w:rPr>
              <w:t xml:space="preserve"> modification rule in Article 72(2)</w:t>
            </w:r>
            <w:r>
              <w:rPr>
                <w:rFonts w:ascii="Arial" w:hAnsi="Arial" w:cs="Arial"/>
                <w:sz w:val="18"/>
                <w:szCs w:val="18"/>
              </w:rPr>
              <w:t>,</w:t>
            </w:r>
            <w:r w:rsidRPr="00E950BA">
              <w:rPr>
                <w:rFonts w:ascii="Arial" w:hAnsi="Arial" w:cs="Arial"/>
                <w:sz w:val="18"/>
                <w:szCs w:val="18"/>
              </w:rPr>
              <w:t xml:space="preserve"> allowing limited-value modifications that do not exceed the prescribed EU thresholds and percentage caps</w:t>
            </w:r>
            <w:r>
              <w:rPr>
                <w:rFonts w:ascii="Arial" w:hAnsi="Arial" w:cs="Arial"/>
                <w:sz w:val="18"/>
                <w:szCs w:val="18"/>
              </w:rPr>
              <w:t>,</w:t>
            </w:r>
            <w:r w:rsidRPr="00E950BA">
              <w:rPr>
                <w:rFonts w:ascii="Arial" w:hAnsi="Arial" w:cs="Arial"/>
                <w:sz w:val="18"/>
                <w:szCs w:val="18"/>
              </w:rPr>
              <w:t xml:space="preserve"> is entirely absent. </w:t>
            </w:r>
          </w:p>
          <w:p w14:paraId="4044C922" w14:textId="77777777" w:rsidR="008E40F6" w:rsidRDefault="008E40F6" w:rsidP="00715B97">
            <w:pPr>
              <w:spacing w:after="60"/>
              <w:jc w:val="left"/>
              <w:rPr>
                <w:rFonts w:ascii="Arial" w:hAnsi="Arial" w:cs="Arial"/>
                <w:sz w:val="18"/>
                <w:szCs w:val="18"/>
              </w:rPr>
            </w:pPr>
            <w:r w:rsidRPr="00C939AA">
              <w:rPr>
                <w:rFonts w:ascii="Arial" w:hAnsi="Arial" w:cs="Arial"/>
                <w:sz w:val="18"/>
                <w:szCs w:val="18"/>
              </w:rPr>
              <w:t>Second</w:t>
            </w:r>
            <w:r w:rsidRPr="00E950BA">
              <w:rPr>
                <w:rFonts w:ascii="Arial" w:hAnsi="Arial" w:cs="Arial"/>
                <w:sz w:val="18"/>
                <w:szCs w:val="18"/>
              </w:rPr>
              <w:t xml:space="preserve">, the Directive’s rule on </w:t>
            </w:r>
            <w:r w:rsidRPr="00E950BA">
              <w:rPr>
                <w:rFonts w:ascii="Arial" w:hAnsi="Arial" w:cs="Arial"/>
                <w:i/>
                <w:iCs/>
                <w:sz w:val="18"/>
                <w:szCs w:val="18"/>
              </w:rPr>
              <w:t>non-substantial modifications</w:t>
            </w:r>
            <w:r w:rsidRPr="00E950BA">
              <w:rPr>
                <w:rFonts w:ascii="Arial" w:hAnsi="Arial" w:cs="Arial"/>
                <w:sz w:val="18"/>
                <w:szCs w:val="18"/>
              </w:rPr>
              <w:t xml:space="preserve"> (Article 72(1)(e)), which permits </w:t>
            </w:r>
            <w:r>
              <w:rPr>
                <w:rFonts w:ascii="Arial" w:hAnsi="Arial" w:cs="Arial"/>
                <w:sz w:val="18"/>
                <w:szCs w:val="18"/>
              </w:rPr>
              <w:t>changes</w:t>
            </w:r>
            <w:r w:rsidRPr="00E950BA">
              <w:rPr>
                <w:rFonts w:ascii="Arial" w:hAnsi="Arial" w:cs="Arial"/>
                <w:sz w:val="18"/>
                <w:szCs w:val="18"/>
              </w:rPr>
              <w:t xml:space="preserve"> </w:t>
            </w:r>
            <w:r w:rsidRPr="00C939AA">
              <w:rPr>
                <w:rFonts w:ascii="Arial" w:hAnsi="Arial" w:cs="Arial"/>
                <w:sz w:val="18"/>
                <w:szCs w:val="18"/>
              </w:rPr>
              <w:t>which do not meet the criteria of a substantial modification,</w:t>
            </w:r>
            <w:r w:rsidRPr="00E950BA">
              <w:rPr>
                <w:rFonts w:ascii="Arial" w:hAnsi="Arial" w:cs="Arial"/>
                <w:sz w:val="18"/>
                <w:szCs w:val="18"/>
              </w:rPr>
              <w:t xml:space="preserve"> is not reflected in the </w:t>
            </w:r>
            <w:r>
              <w:rPr>
                <w:rFonts w:ascii="Arial" w:hAnsi="Arial" w:cs="Arial"/>
                <w:sz w:val="18"/>
                <w:szCs w:val="18"/>
              </w:rPr>
              <w:t>d</w:t>
            </w:r>
            <w:r w:rsidRPr="00E950BA">
              <w:rPr>
                <w:rFonts w:ascii="Arial" w:hAnsi="Arial" w:cs="Arial"/>
                <w:sz w:val="18"/>
                <w:szCs w:val="18"/>
              </w:rPr>
              <w:t xml:space="preserve">raft Law. </w:t>
            </w:r>
          </w:p>
          <w:p w14:paraId="29E4F3F8" w14:textId="77777777" w:rsidR="008E40F6" w:rsidRPr="008A490B" w:rsidRDefault="008E40F6" w:rsidP="00715B97">
            <w:pPr>
              <w:spacing w:after="60"/>
              <w:jc w:val="left"/>
              <w:rPr>
                <w:rFonts w:ascii="Arial" w:hAnsi="Arial" w:cs="Arial"/>
                <w:sz w:val="18"/>
                <w:szCs w:val="18"/>
              </w:rPr>
            </w:pPr>
            <w:r w:rsidRPr="00E950BA">
              <w:rPr>
                <w:rFonts w:ascii="Arial" w:hAnsi="Arial" w:cs="Arial"/>
                <w:sz w:val="18"/>
                <w:szCs w:val="18"/>
              </w:rPr>
              <w:t xml:space="preserve">The omission of these two categories means that the </w:t>
            </w:r>
            <w:r>
              <w:rPr>
                <w:rFonts w:ascii="Arial" w:hAnsi="Arial" w:cs="Arial"/>
                <w:sz w:val="18"/>
                <w:szCs w:val="18"/>
              </w:rPr>
              <w:t>d</w:t>
            </w:r>
            <w:r w:rsidRPr="00E950BA">
              <w:rPr>
                <w:rFonts w:ascii="Arial" w:hAnsi="Arial" w:cs="Arial"/>
                <w:sz w:val="18"/>
                <w:szCs w:val="18"/>
              </w:rPr>
              <w:t>raft Law is not fully aligned with EU acquis on contract modifications and restricts contracting authorities’ flexibility in managing contracts legally. The provisions should be added to ensure full compliance with Article 72.</w:t>
            </w:r>
          </w:p>
        </w:tc>
      </w:tr>
      <w:tr w:rsidR="008E40F6" w:rsidRPr="00F23ECC" w14:paraId="16FD8C65" w14:textId="77777777" w:rsidTr="00715B97">
        <w:tc>
          <w:tcPr>
            <w:tcW w:w="1276" w:type="dxa"/>
          </w:tcPr>
          <w:p w14:paraId="21D5060D" w14:textId="77777777" w:rsidR="008E40F6" w:rsidRDefault="008E40F6" w:rsidP="00715B97">
            <w:pPr>
              <w:spacing w:after="60"/>
              <w:rPr>
                <w:rFonts w:ascii="Arial" w:hAnsi="Arial" w:cs="Arial"/>
                <w:b/>
                <w:bCs/>
                <w:sz w:val="18"/>
                <w:szCs w:val="18"/>
              </w:rPr>
            </w:pPr>
            <w:r w:rsidRPr="00F766F7">
              <w:rPr>
                <w:rFonts w:ascii="Arial" w:hAnsi="Arial" w:cs="Arial"/>
                <w:b/>
                <w:bCs/>
                <w:sz w:val="18"/>
                <w:szCs w:val="18"/>
              </w:rPr>
              <w:t>Article 343</w:t>
            </w:r>
          </w:p>
        </w:tc>
        <w:tc>
          <w:tcPr>
            <w:tcW w:w="2410" w:type="dxa"/>
          </w:tcPr>
          <w:p w14:paraId="0455DED8" w14:textId="77777777" w:rsidR="008E40F6" w:rsidRPr="008A490B" w:rsidRDefault="008E40F6" w:rsidP="00715B97">
            <w:pPr>
              <w:spacing w:after="60"/>
              <w:rPr>
                <w:rFonts w:ascii="Arial" w:hAnsi="Arial" w:cs="Arial"/>
                <w:sz w:val="18"/>
                <w:szCs w:val="18"/>
              </w:rPr>
            </w:pPr>
            <w:r w:rsidRPr="00F766F7">
              <w:rPr>
                <w:rFonts w:ascii="Arial" w:hAnsi="Arial" w:cs="Arial"/>
                <w:sz w:val="18"/>
                <w:szCs w:val="18"/>
              </w:rPr>
              <w:t>Modifications concerning additional works, supplies or services</w:t>
            </w:r>
          </w:p>
        </w:tc>
        <w:tc>
          <w:tcPr>
            <w:tcW w:w="5386" w:type="dxa"/>
          </w:tcPr>
          <w:p w14:paraId="6D52A7D5" w14:textId="77777777" w:rsidR="008E40F6" w:rsidRPr="008A490B" w:rsidRDefault="008E40F6" w:rsidP="00715B97">
            <w:pPr>
              <w:spacing w:after="60"/>
              <w:jc w:val="left"/>
              <w:rPr>
                <w:rFonts w:ascii="Arial" w:hAnsi="Arial" w:cs="Arial"/>
                <w:sz w:val="18"/>
                <w:szCs w:val="18"/>
              </w:rPr>
            </w:pPr>
            <w:r w:rsidRPr="00F766F7">
              <w:rPr>
                <w:rFonts w:ascii="Arial" w:hAnsi="Arial" w:cs="Arial"/>
                <w:sz w:val="18"/>
                <w:szCs w:val="18"/>
              </w:rPr>
              <w:t xml:space="preserve">Article 343 is intended to transpose Article 72(1)(b) of Directive 2014/24/EU, which permits modifications allowing </w:t>
            </w:r>
            <w:r w:rsidRPr="00C939AA">
              <w:rPr>
                <w:rFonts w:ascii="Arial" w:hAnsi="Arial" w:cs="Arial"/>
                <w:i/>
                <w:iCs/>
                <w:sz w:val="18"/>
                <w:szCs w:val="18"/>
              </w:rPr>
              <w:t>additional works, services or supplies</w:t>
            </w:r>
            <w:r w:rsidRPr="00F766F7">
              <w:rPr>
                <w:rFonts w:ascii="Arial" w:hAnsi="Arial" w:cs="Arial"/>
                <w:sz w:val="18"/>
                <w:szCs w:val="18"/>
              </w:rPr>
              <w:t xml:space="preserve"> from the original contractor under strict technical or economic conditions, subject to a </w:t>
            </w:r>
            <w:r w:rsidRPr="004F45F3">
              <w:rPr>
                <w:rFonts w:ascii="Arial" w:hAnsi="Arial" w:cs="Arial"/>
                <w:sz w:val="18"/>
                <w:szCs w:val="18"/>
              </w:rPr>
              <w:t>value limit (50% in the Directive)</w:t>
            </w:r>
            <w:r w:rsidRPr="00F766F7">
              <w:rPr>
                <w:rFonts w:ascii="Arial" w:hAnsi="Arial" w:cs="Arial"/>
                <w:sz w:val="18"/>
                <w:szCs w:val="18"/>
              </w:rPr>
              <w:t xml:space="preserve"> and safeguards against circumvention. While paragraph (1) correctly reflects the EU conditions for additional scope</w:t>
            </w:r>
            <w:r>
              <w:rPr>
                <w:rFonts w:ascii="Arial" w:hAnsi="Arial" w:cs="Arial"/>
                <w:sz w:val="18"/>
                <w:szCs w:val="18"/>
              </w:rPr>
              <w:t xml:space="preserve"> </w:t>
            </w:r>
            <w:r w:rsidRPr="004C3721">
              <w:rPr>
                <w:rFonts w:ascii="Arial" w:hAnsi="Arial" w:cs="Arial"/>
                <w:sz w:val="18"/>
                <w:szCs w:val="18"/>
              </w:rPr>
              <w:t xml:space="preserve">although with a </w:t>
            </w:r>
            <w:r w:rsidRPr="004F45F3">
              <w:rPr>
                <w:rFonts w:ascii="Arial" w:hAnsi="Arial" w:cs="Arial"/>
                <w:sz w:val="18"/>
                <w:szCs w:val="18"/>
              </w:rPr>
              <w:t>30% ceiling</w:t>
            </w:r>
            <w:r w:rsidRPr="004C3721">
              <w:rPr>
                <w:rFonts w:ascii="Arial" w:hAnsi="Arial" w:cs="Arial"/>
                <w:sz w:val="18"/>
                <w:szCs w:val="18"/>
              </w:rPr>
              <w:t xml:space="preserve"> rather than the Directive’s 50%</w:t>
            </w:r>
            <w:r w:rsidRPr="00F766F7">
              <w:rPr>
                <w:rFonts w:ascii="Arial" w:hAnsi="Arial" w:cs="Arial"/>
                <w:sz w:val="18"/>
                <w:szCs w:val="18"/>
              </w:rPr>
              <w:t xml:space="preserve">, paragraphs </w:t>
            </w:r>
            <w:r w:rsidRPr="004F45F3">
              <w:rPr>
                <w:rFonts w:ascii="Arial" w:hAnsi="Arial" w:cs="Arial"/>
                <w:sz w:val="18"/>
                <w:szCs w:val="18"/>
              </w:rPr>
              <w:t>(3) and (4)</w:t>
            </w:r>
            <w:r w:rsidRPr="00F766F7">
              <w:rPr>
                <w:rFonts w:ascii="Arial" w:hAnsi="Arial" w:cs="Arial"/>
                <w:sz w:val="18"/>
                <w:szCs w:val="18"/>
              </w:rPr>
              <w:t xml:space="preserve"> introduce </w:t>
            </w:r>
            <w:r w:rsidRPr="004F45F3">
              <w:rPr>
                <w:rFonts w:ascii="Arial" w:hAnsi="Arial" w:cs="Arial"/>
                <w:sz w:val="18"/>
                <w:szCs w:val="18"/>
              </w:rPr>
              <w:t>domestic rules on price increases</w:t>
            </w:r>
            <w:r w:rsidRPr="00F766F7">
              <w:rPr>
                <w:rFonts w:ascii="Arial" w:hAnsi="Arial" w:cs="Arial"/>
                <w:sz w:val="18"/>
                <w:szCs w:val="18"/>
              </w:rPr>
              <w:t xml:space="preserve"> (5%/10% thresholds) that have </w:t>
            </w:r>
            <w:r w:rsidRPr="004F45F3">
              <w:rPr>
                <w:rFonts w:ascii="Arial" w:hAnsi="Arial" w:cs="Arial"/>
                <w:sz w:val="18"/>
                <w:szCs w:val="18"/>
              </w:rPr>
              <w:t>no basis in EU law and do not correspond to the modification scenario regulated in paragraph (1)</w:t>
            </w:r>
            <w:r w:rsidRPr="00F766F7">
              <w:rPr>
                <w:rFonts w:ascii="Arial" w:hAnsi="Arial" w:cs="Arial"/>
                <w:sz w:val="18"/>
                <w:szCs w:val="18"/>
              </w:rPr>
              <w:t xml:space="preserve">. Article 72(1)(b) concerns extending scope, not adjusting prices. By combining unrelated mechanisms for </w:t>
            </w:r>
            <w:r w:rsidRPr="004F45F3">
              <w:rPr>
                <w:rFonts w:ascii="Arial" w:hAnsi="Arial" w:cs="Arial"/>
                <w:sz w:val="18"/>
                <w:szCs w:val="18"/>
              </w:rPr>
              <w:t>scope extensions and price revisions</w:t>
            </w:r>
            <w:r w:rsidRPr="00F766F7">
              <w:rPr>
                <w:rFonts w:ascii="Arial" w:hAnsi="Arial" w:cs="Arial"/>
                <w:sz w:val="18"/>
                <w:szCs w:val="18"/>
              </w:rPr>
              <w:t xml:space="preserve">, the </w:t>
            </w:r>
            <w:r>
              <w:rPr>
                <w:rFonts w:ascii="Arial" w:hAnsi="Arial" w:cs="Arial"/>
                <w:sz w:val="18"/>
                <w:szCs w:val="18"/>
              </w:rPr>
              <w:t>d</w:t>
            </w:r>
            <w:r w:rsidRPr="00F766F7">
              <w:rPr>
                <w:rFonts w:ascii="Arial" w:hAnsi="Arial" w:cs="Arial"/>
                <w:sz w:val="18"/>
                <w:szCs w:val="18"/>
              </w:rPr>
              <w:t xml:space="preserve">raft Law risks misinterpretation, legal uncertainty and inconsistent application. </w:t>
            </w:r>
            <w:r>
              <w:rPr>
                <w:rFonts w:ascii="Arial" w:hAnsi="Arial" w:cs="Arial"/>
                <w:sz w:val="18"/>
                <w:szCs w:val="18"/>
              </w:rPr>
              <w:t>Directive</w:t>
            </w:r>
            <w:r w:rsidRPr="00F766F7">
              <w:rPr>
                <w:rFonts w:ascii="Arial" w:hAnsi="Arial" w:cs="Arial"/>
                <w:sz w:val="18"/>
                <w:szCs w:val="18"/>
              </w:rPr>
              <w:t xml:space="preserve"> treats price adjustments separately, generally under Article 72(1)(a) where price-revision clauses are foreseen in the original contract. To ensure EU alignment and legal clarity, paragraphs (3)–(4) should be </w:t>
            </w:r>
            <w:r w:rsidRPr="004F45F3">
              <w:rPr>
                <w:rFonts w:ascii="Arial" w:hAnsi="Arial" w:cs="Arial"/>
                <w:sz w:val="18"/>
                <w:szCs w:val="18"/>
              </w:rPr>
              <w:t>deleted or relocated</w:t>
            </w:r>
            <w:r w:rsidRPr="00F766F7">
              <w:rPr>
                <w:rFonts w:ascii="Arial" w:hAnsi="Arial" w:cs="Arial"/>
                <w:sz w:val="18"/>
                <w:szCs w:val="18"/>
              </w:rPr>
              <w:t xml:space="preserve"> (e.g., to Article 342 if BiH wishes to regulate price variations). Article 343 should exclusively regulate </w:t>
            </w:r>
            <w:r w:rsidRPr="004F45F3">
              <w:rPr>
                <w:rFonts w:ascii="Arial" w:hAnsi="Arial" w:cs="Arial"/>
                <w:sz w:val="18"/>
                <w:szCs w:val="18"/>
              </w:rPr>
              <w:t>additional works/services/supplies</w:t>
            </w:r>
            <w:r w:rsidRPr="00F766F7">
              <w:rPr>
                <w:rFonts w:ascii="Arial" w:hAnsi="Arial" w:cs="Arial"/>
                <w:sz w:val="18"/>
                <w:szCs w:val="18"/>
              </w:rPr>
              <w:t xml:space="preserve"> in line with Directive 2014/24/EU.</w:t>
            </w:r>
          </w:p>
        </w:tc>
      </w:tr>
      <w:tr w:rsidR="008E40F6" w:rsidRPr="00F23ECC" w14:paraId="7FEC175C" w14:textId="77777777" w:rsidTr="00715B97">
        <w:tc>
          <w:tcPr>
            <w:tcW w:w="1276" w:type="dxa"/>
          </w:tcPr>
          <w:p w14:paraId="17FFB577" w14:textId="77777777" w:rsidR="008E40F6" w:rsidRDefault="008E40F6" w:rsidP="00715B97">
            <w:pPr>
              <w:spacing w:after="60"/>
              <w:rPr>
                <w:rFonts w:ascii="Arial" w:hAnsi="Arial" w:cs="Arial"/>
                <w:b/>
                <w:bCs/>
                <w:sz w:val="18"/>
                <w:szCs w:val="18"/>
              </w:rPr>
            </w:pPr>
            <w:r>
              <w:rPr>
                <w:rFonts w:ascii="Arial" w:hAnsi="Arial" w:cs="Arial"/>
                <w:b/>
                <w:bCs/>
                <w:sz w:val="18"/>
                <w:szCs w:val="18"/>
              </w:rPr>
              <w:t>Article 344</w:t>
            </w:r>
          </w:p>
        </w:tc>
        <w:tc>
          <w:tcPr>
            <w:tcW w:w="2410" w:type="dxa"/>
          </w:tcPr>
          <w:p w14:paraId="47E1679A" w14:textId="77777777" w:rsidR="008E40F6" w:rsidRPr="008A490B" w:rsidRDefault="008E40F6" w:rsidP="00715B97">
            <w:pPr>
              <w:spacing w:after="60"/>
              <w:jc w:val="left"/>
              <w:rPr>
                <w:rFonts w:ascii="Arial" w:hAnsi="Arial" w:cs="Arial"/>
                <w:sz w:val="18"/>
                <w:szCs w:val="18"/>
              </w:rPr>
            </w:pPr>
            <w:r w:rsidRPr="004C3721">
              <w:rPr>
                <w:rFonts w:ascii="Arial" w:hAnsi="Arial" w:cs="Arial"/>
                <w:sz w:val="18"/>
                <w:szCs w:val="18"/>
              </w:rPr>
              <w:t>Modifications due to unforeseeable circumstances</w:t>
            </w:r>
          </w:p>
        </w:tc>
        <w:tc>
          <w:tcPr>
            <w:tcW w:w="5386" w:type="dxa"/>
          </w:tcPr>
          <w:p w14:paraId="2D5062D4" w14:textId="77777777" w:rsidR="008E40F6" w:rsidRPr="008A490B" w:rsidRDefault="008E40F6" w:rsidP="00715B97">
            <w:pPr>
              <w:spacing w:after="60"/>
              <w:jc w:val="left"/>
              <w:rPr>
                <w:rFonts w:ascii="Arial" w:hAnsi="Arial" w:cs="Arial"/>
                <w:sz w:val="18"/>
                <w:szCs w:val="18"/>
              </w:rPr>
            </w:pPr>
            <w:r w:rsidRPr="004C3721">
              <w:rPr>
                <w:rFonts w:ascii="Arial" w:hAnsi="Arial" w:cs="Arial"/>
                <w:sz w:val="18"/>
                <w:szCs w:val="18"/>
              </w:rPr>
              <w:t xml:space="preserve">Article 344 seeks to transpose Article 72(1)(c) of Directive 2014/24/EU, which permits modifications where the need for change results from </w:t>
            </w:r>
            <w:r w:rsidRPr="004F45F3">
              <w:rPr>
                <w:rFonts w:ascii="Arial" w:hAnsi="Arial" w:cs="Arial"/>
                <w:i/>
                <w:iCs/>
                <w:sz w:val="18"/>
                <w:szCs w:val="18"/>
              </w:rPr>
              <w:t>unforeseeable circumstances</w:t>
            </w:r>
            <w:r w:rsidRPr="004C3721">
              <w:rPr>
                <w:rFonts w:ascii="Arial" w:hAnsi="Arial" w:cs="Arial"/>
                <w:sz w:val="18"/>
                <w:szCs w:val="18"/>
              </w:rPr>
              <w:t xml:space="preserve">, provided that the nature of the contract remains unchanged and the price increase does not exceed </w:t>
            </w:r>
            <w:r w:rsidRPr="004F45F3">
              <w:rPr>
                <w:rFonts w:ascii="Arial" w:hAnsi="Arial" w:cs="Arial"/>
                <w:sz w:val="18"/>
                <w:szCs w:val="18"/>
              </w:rPr>
              <w:t>50%</w:t>
            </w:r>
            <w:r w:rsidRPr="004C3721">
              <w:rPr>
                <w:rFonts w:ascii="Arial" w:hAnsi="Arial" w:cs="Arial"/>
                <w:sz w:val="18"/>
                <w:szCs w:val="18"/>
              </w:rPr>
              <w:t xml:space="preserve">. Paragraph (1) of the </w:t>
            </w:r>
            <w:r>
              <w:rPr>
                <w:rFonts w:ascii="Arial" w:hAnsi="Arial" w:cs="Arial"/>
                <w:sz w:val="18"/>
                <w:szCs w:val="18"/>
              </w:rPr>
              <w:t>d</w:t>
            </w:r>
            <w:r w:rsidRPr="004C3721">
              <w:rPr>
                <w:rFonts w:ascii="Arial" w:hAnsi="Arial" w:cs="Arial"/>
                <w:sz w:val="18"/>
                <w:szCs w:val="18"/>
              </w:rPr>
              <w:t xml:space="preserve">raft </w:t>
            </w:r>
            <w:r>
              <w:rPr>
                <w:rFonts w:ascii="Arial" w:hAnsi="Arial" w:cs="Arial"/>
                <w:sz w:val="18"/>
                <w:szCs w:val="18"/>
              </w:rPr>
              <w:t xml:space="preserve">Law </w:t>
            </w:r>
            <w:r w:rsidRPr="004C3721">
              <w:rPr>
                <w:rFonts w:ascii="Arial" w:hAnsi="Arial" w:cs="Arial"/>
                <w:sz w:val="18"/>
                <w:szCs w:val="18"/>
              </w:rPr>
              <w:t xml:space="preserve">reflects the core EU criteria, although with a </w:t>
            </w:r>
            <w:r w:rsidRPr="004F45F3">
              <w:rPr>
                <w:rFonts w:ascii="Arial" w:hAnsi="Arial" w:cs="Arial"/>
                <w:sz w:val="18"/>
                <w:szCs w:val="18"/>
              </w:rPr>
              <w:t>30% ceiling</w:t>
            </w:r>
            <w:r w:rsidRPr="004C3721">
              <w:rPr>
                <w:rFonts w:ascii="Arial" w:hAnsi="Arial" w:cs="Arial"/>
                <w:sz w:val="18"/>
                <w:szCs w:val="18"/>
              </w:rPr>
              <w:t xml:space="preserve"> rather than the Directive’s 50%. However, paragraphs </w:t>
            </w:r>
            <w:r w:rsidRPr="004F45F3">
              <w:rPr>
                <w:rFonts w:ascii="Arial" w:hAnsi="Arial" w:cs="Arial"/>
                <w:sz w:val="18"/>
                <w:szCs w:val="18"/>
              </w:rPr>
              <w:t>(2) and (3)</w:t>
            </w:r>
            <w:r w:rsidRPr="004C3721">
              <w:rPr>
                <w:rFonts w:ascii="Arial" w:hAnsi="Arial" w:cs="Arial"/>
                <w:sz w:val="18"/>
                <w:szCs w:val="18"/>
              </w:rPr>
              <w:t xml:space="preserve"> introduce additional domestic restrictions that are </w:t>
            </w:r>
            <w:r w:rsidRPr="004F45F3">
              <w:rPr>
                <w:rFonts w:ascii="Arial" w:hAnsi="Arial" w:cs="Arial"/>
                <w:sz w:val="18"/>
                <w:szCs w:val="18"/>
              </w:rPr>
              <w:t>not required by EU law</w:t>
            </w:r>
            <w:r w:rsidRPr="004C3721">
              <w:rPr>
                <w:rFonts w:ascii="Arial" w:hAnsi="Arial" w:cs="Arial"/>
                <w:sz w:val="18"/>
                <w:szCs w:val="18"/>
              </w:rPr>
              <w:t xml:space="preserve"> and conflict with the underlying logic of Article 72(1)(c). These paragraphs prohibit modification if the price effect is </w:t>
            </w:r>
            <w:r w:rsidRPr="004F45F3">
              <w:rPr>
                <w:rFonts w:ascii="Arial" w:hAnsi="Arial" w:cs="Arial"/>
                <w:sz w:val="18"/>
                <w:szCs w:val="18"/>
              </w:rPr>
              <w:t>below</w:t>
            </w:r>
            <w:r w:rsidRPr="004C3721">
              <w:rPr>
                <w:rFonts w:ascii="Arial" w:hAnsi="Arial" w:cs="Arial"/>
                <w:sz w:val="18"/>
                <w:szCs w:val="18"/>
              </w:rPr>
              <w:t xml:space="preserve"> 5% (goods/services) or 10% (works) and allow modification only for the portion above these thresholds. This approach is illogical: where unforeseeable circumstances exist, </w:t>
            </w:r>
            <w:r w:rsidRPr="004F45F3">
              <w:rPr>
                <w:rFonts w:ascii="Arial" w:hAnsi="Arial" w:cs="Arial"/>
                <w:sz w:val="18"/>
                <w:szCs w:val="18"/>
              </w:rPr>
              <w:t>small-value modifications should be more acceptable</w:t>
            </w:r>
            <w:r w:rsidRPr="004C3721">
              <w:rPr>
                <w:rFonts w:ascii="Arial" w:hAnsi="Arial" w:cs="Arial"/>
                <w:sz w:val="18"/>
                <w:szCs w:val="18"/>
              </w:rPr>
              <w:t xml:space="preserve">, not prohibited. The Directive does not impose such lower limits and these rules risk preventing legitimate and necessary modifications while creating confusion between </w:t>
            </w:r>
            <w:r w:rsidRPr="004F45F3">
              <w:rPr>
                <w:rFonts w:ascii="Arial" w:hAnsi="Arial" w:cs="Arial"/>
                <w:sz w:val="18"/>
                <w:szCs w:val="18"/>
              </w:rPr>
              <w:t>price adjustment mechanisms and unforeseeable-circumstance modifications</w:t>
            </w:r>
            <w:r w:rsidRPr="004C3721">
              <w:rPr>
                <w:rFonts w:ascii="Arial" w:hAnsi="Arial" w:cs="Arial"/>
                <w:sz w:val="18"/>
                <w:szCs w:val="18"/>
              </w:rPr>
              <w:t xml:space="preserve">. To ensure consistency with Article 72(1)(c) and legal clarity, paragraphs (2) and (3) should be </w:t>
            </w:r>
            <w:r w:rsidRPr="004F45F3">
              <w:rPr>
                <w:rFonts w:ascii="Arial" w:hAnsi="Arial" w:cs="Arial"/>
                <w:sz w:val="18"/>
                <w:szCs w:val="18"/>
              </w:rPr>
              <w:t>removed</w:t>
            </w:r>
            <w:r w:rsidRPr="004C3721">
              <w:rPr>
                <w:rFonts w:ascii="Arial" w:hAnsi="Arial" w:cs="Arial"/>
                <w:sz w:val="18"/>
                <w:szCs w:val="18"/>
              </w:rPr>
              <w:t xml:space="preserve"> and Article 344 should regulate solely the circumstances envisaged by the Directive.</w:t>
            </w:r>
          </w:p>
        </w:tc>
      </w:tr>
      <w:tr w:rsidR="008E40F6" w:rsidRPr="00F23ECC" w14:paraId="075D3272" w14:textId="77777777" w:rsidTr="00715B97">
        <w:tc>
          <w:tcPr>
            <w:tcW w:w="1276" w:type="dxa"/>
          </w:tcPr>
          <w:p w14:paraId="1F49150B" w14:textId="77777777" w:rsidR="008E40F6" w:rsidRDefault="008E40F6" w:rsidP="00715B97">
            <w:pPr>
              <w:spacing w:after="60"/>
              <w:rPr>
                <w:rFonts w:ascii="Arial" w:hAnsi="Arial" w:cs="Arial"/>
                <w:b/>
                <w:bCs/>
                <w:sz w:val="18"/>
                <w:szCs w:val="18"/>
              </w:rPr>
            </w:pPr>
            <w:r>
              <w:rPr>
                <w:rFonts w:ascii="Arial" w:hAnsi="Arial" w:cs="Arial"/>
                <w:b/>
                <w:bCs/>
                <w:sz w:val="18"/>
                <w:szCs w:val="18"/>
              </w:rPr>
              <w:lastRenderedPageBreak/>
              <w:t>Article 345</w:t>
            </w:r>
          </w:p>
        </w:tc>
        <w:tc>
          <w:tcPr>
            <w:tcW w:w="2410" w:type="dxa"/>
          </w:tcPr>
          <w:p w14:paraId="51B8FAC5" w14:textId="77777777" w:rsidR="008E40F6" w:rsidRPr="004C3721" w:rsidRDefault="008E40F6" w:rsidP="00715B97">
            <w:pPr>
              <w:spacing w:after="60"/>
              <w:rPr>
                <w:rFonts w:ascii="Arial" w:hAnsi="Arial" w:cs="Arial"/>
                <w:sz w:val="18"/>
                <w:szCs w:val="18"/>
              </w:rPr>
            </w:pPr>
            <w:r w:rsidRPr="005E1950">
              <w:rPr>
                <w:rFonts w:ascii="Arial" w:hAnsi="Arial" w:cs="Arial"/>
                <w:sz w:val="18"/>
                <w:szCs w:val="18"/>
              </w:rPr>
              <w:t>Change of contractor</w:t>
            </w:r>
          </w:p>
        </w:tc>
        <w:tc>
          <w:tcPr>
            <w:tcW w:w="5386" w:type="dxa"/>
          </w:tcPr>
          <w:p w14:paraId="4079451D" w14:textId="77777777" w:rsidR="008E40F6" w:rsidRPr="004C3721" w:rsidRDefault="008E40F6" w:rsidP="00715B97">
            <w:pPr>
              <w:spacing w:after="60"/>
              <w:jc w:val="left"/>
              <w:rPr>
                <w:rFonts w:ascii="Arial" w:hAnsi="Arial" w:cs="Arial"/>
                <w:sz w:val="18"/>
                <w:szCs w:val="18"/>
              </w:rPr>
            </w:pPr>
            <w:r w:rsidRPr="005E1950">
              <w:rPr>
                <w:rFonts w:ascii="Arial" w:hAnsi="Arial" w:cs="Arial"/>
                <w:sz w:val="18"/>
                <w:szCs w:val="18"/>
              </w:rPr>
              <w:t xml:space="preserve">Article 345 transposes part of Article 72(1)(d)(ii) of Directive 2014/24/EU, allowing contract modification without a new procedure in cases of general or partial legal succession of the original contractor (e.g., takeover, merger, acquisition, insolvency), provided that the successor meets the initial qualitative selection criteria and no other substantial modification occurs. However, the </w:t>
            </w:r>
            <w:r>
              <w:rPr>
                <w:rFonts w:ascii="Arial" w:hAnsi="Arial" w:cs="Arial"/>
                <w:sz w:val="18"/>
                <w:szCs w:val="18"/>
              </w:rPr>
              <w:t>d</w:t>
            </w:r>
            <w:r w:rsidRPr="005E1950">
              <w:rPr>
                <w:rFonts w:ascii="Arial" w:hAnsi="Arial" w:cs="Arial"/>
                <w:sz w:val="18"/>
                <w:szCs w:val="18"/>
              </w:rPr>
              <w:t>raft</w:t>
            </w:r>
            <w:r>
              <w:rPr>
                <w:rFonts w:ascii="Arial" w:hAnsi="Arial" w:cs="Arial"/>
                <w:sz w:val="18"/>
                <w:szCs w:val="18"/>
              </w:rPr>
              <w:t xml:space="preserve"> Law</w:t>
            </w:r>
            <w:r w:rsidRPr="005E1950">
              <w:rPr>
                <w:rFonts w:ascii="Arial" w:hAnsi="Arial" w:cs="Arial"/>
                <w:sz w:val="18"/>
                <w:szCs w:val="18"/>
              </w:rPr>
              <w:t xml:space="preserve"> omits two further grounds that must also be transposed: </w:t>
            </w:r>
            <w:r w:rsidRPr="00DE2A1E">
              <w:rPr>
                <w:rFonts w:ascii="Arial" w:hAnsi="Arial" w:cs="Arial"/>
                <w:sz w:val="18"/>
                <w:szCs w:val="18"/>
              </w:rPr>
              <w:t>(i)</w:t>
            </w:r>
            <w:r w:rsidRPr="005E1950">
              <w:rPr>
                <w:rFonts w:ascii="Arial" w:hAnsi="Arial" w:cs="Arial"/>
                <w:sz w:val="18"/>
                <w:szCs w:val="18"/>
              </w:rPr>
              <w:t xml:space="preserve"> substitution of the contractor as a consequence of a </w:t>
            </w:r>
            <w:r w:rsidRPr="00DE2A1E">
              <w:rPr>
                <w:rFonts w:ascii="Arial" w:hAnsi="Arial" w:cs="Arial"/>
                <w:i/>
                <w:iCs/>
                <w:sz w:val="18"/>
                <w:szCs w:val="18"/>
              </w:rPr>
              <w:t>clear, precise and unequivocal review clause or option</w:t>
            </w:r>
            <w:r w:rsidRPr="005E1950">
              <w:rPr>
                <w:rFonts w:ascii="Arial" w:hAnsi="Arial" w:cs="Arial"/>
                <w:sz w:val="18"/>
                <w:szCs w:val="18"/>
              </w:rPr>
              <w:t xml:space="preserve"> in the original procurement documents (Article 72(1)(d)(i)); and </w:t>
            </w:r>
            <w:r w:rsidRPr="00FD5108">
              <w:rPr>
                <w:rFonts w:ascii="Arial" w:hAnsi="Arial" w:cs="Arial"/>
                <w:sz w:val="18"/>
                <w:szCs w:val="18"/>
              </w:rPr>
              <w:t>(iii) cases</w:t>
            </w:r>
            <w:r w:rsidRPr="005E1950">
              <w:rPr>
                <w:rFonts w:ascii="Arial" w:hAnsi="Arial" w:cs="Arial"/>
                <w:sz w:val="18"/>
                <w:szCs w:val="18"/>
              </w:rPr>
              <w:t xml:space="preserve"> where the </w:t>
            </w:r>
            <w:r w:rsidRPr="00FD5108">
              <w:rPr>
                <w:rFonts w:ascii="Arial" w:hAnsi="Arial" w:cs="Arial"/>
                <w:i/>
                <w:iCs/>
                <w:sz w:val="18"/>
                <w:szCs w:val="18"/>
              </w:rPr>
              <w:t>contracting authority itself assumes the main contractor’s obligations</w:t>
            </w:r>
            <w:r w:rsidRPr="005E1950">
              <w:rPr>
                <w:rFonts w:ascii="Arial" w:hAnsi="Arial" w:cs="Arial"/>
                <w:sz w:val="18"/>
                <w:szCs w:val="18"/>
              </w:rPr>
              <w:t xml:space="preserve"> towards subcontractors (Article 72(1)(d)(iii)). Without these two elements, the transposition is incomplete and certain lawful and commonly accepted substitutions of contractors under EU </w:t>
            </w:r>
            <w:r>
              <w:rPr>
                <w:rFonts w:ascii="Arial" w:hAnsi="Arial" w:cs="Arial"/>
                <w:sz w:val="18"/>
                <w:szCs w:val="18"/>
              </w:rPr>
              <w:t>directive</w:t>
            </w:r>
            <w:r w:rsidRPr="005E1950">
              <w:rPr>
                <w:rFonts w:ascii="Arial" w:hAnsi="Arial" w:cs="Arial"/>
                <w:sz w:val="18"/>
                <w:szCs w:val="18"/>
              </w:rPr>
              <w:t xml:space="preserve"> would be incorrectly treated as requiring a new procurement procedure. Article 345 should therefore be expanded to cover all three scenarios listed in Article 72(1)(d) of the Directive.</w:t>
            </w:r>
          </w:p>
        </w:tc>
      </w:tr>
      <w:tr w:rsidR="008E40F6" w:rsidRPr="00F23ECC" w14:paraId="6B95CEAD" w14:textId="77777777" w:rsidTr="00715B97">
        <w:tc>
          <w:tcPr>
            <w:tcW w:w="1276" w:type="dxa"/>
          </w:tcPr>
          <w:p w14:paraId="1D64E8C7" w14:textId="77777777" w:rsidR="008E40F6" w:rsidRDefault="008E40F6" w:rsidP="00715B97">
            <w:pPr>
              <w:spacing w:after="60"/>
              <w:rPr>
                <w:rFonts w:ascii="Arial" w:hAnsi="Arial" w:cs="Arial"/>
                <w:b/>
                <w:bCs/>
                <w:sz w:val="18"/>
                <w:szCs w:val="18"/>
              </w:rPr>
            </w:pPr>
            <w:r>
              <w:rPr>
                <w:rFonts w:ascii="Arial" w:hAnsi="Arial" w:cs="Arial"/>
                <w:b/>
                <w:bCs/>
                <w:sz w:val="18"/>
                <w:szCs w:val="18"/>
              </w:rPr>
              <w:t>Article 349</w:t>
            </w:r>
          </w:p>
        </w:tc>
        <w:tc>
          <w:tcPr>
            <w:tcW w:w="2410" w:type="dxa"/>
          </w:tcPr>
          <w:p w14:paraId="4342D7F6" w14:textId="77777777" w:rsidR="008E40F6" w:rsidRPr="004C3721" w:rsidRDefault="008E40F6" w:rsidP="00715B97">
            <w:pPr>
              <w:spacing w:after="60"/>
              <w:rPr>
                <w:rFonts w:ascii="Arial" w:hAnsi="Arial" w:cs="Arial"/>
                <w:sz w:val="18"/>
                <w:szCs w:val="18"/>
              </w:rPr>
            </w:pPr>
            <w:r>
              <w:rPr>
                <w:rFonts w:ascii="Arial" w:hAnsi="Arial" w:cs="Arial"/>
                <w:sz w:val="18"/>
                <w:szCs w:val="18"/>
              </w:rPr>
              <w:t>Social and other specific services</w:t>
            </w:r>
          </w:p>
        </w:tc>
        <w:tc>
          <w:tcPr>
            <w:tcW w:w="5386" w:type="dxa"/>
          </w:tcPr>
          <w:p w14:paraId="7663BEA6" w14:textId="77777777" w:rsidR="008E40F6" w:rsidRPr="004C3721" w:rsidRDefault="008E40F6" w:rsidP="00715B97">
            <w:pPr>
              <w:spacing w:after="60"/>
              <w:jc w:val="left"/>
              <w:rPr>
                <w:rFonts w:ascii="Arial" w:hAnsi="Arial" w:cs="Arial"/>
                <w:sz w:val="18"/>
                <w:szCs w:val="18"/>
              </w:rPr>
            </w:pPr>
            <w:r w:rsidRPr="007B6DAE">
              <w:rPr>
                <w:rFonts w:ascii="Arial" w:hAnsi="Arial" w:cs="Arial"/>
                <w:sz w:val="18"/>
                <w:szCs w:val="18"/>
              </w:rPr>
              <w:t xml:space="preserve">Article 349(5) provides that contracting authorities are </w:t>
            </w:r>
            <w:r w:rsidRPr="007B6DAE">
              <w:rPr>
                <w:rFonts w:ascii="Arial" w:hAnsi="Arial" w:cs="Arial"/>
                <w:i/>
                <w:iCs/>
                <w:sz w:val="18"/>
                <w:szCs w:val="18"/>
              </w:rPr>
              <w:t>not obliged to apply exclusion grounds</w:t>
            </w:r>
            <w:r w:rsidRPr="007B6DAE">
              <w:rPr>
                <w:rFonts w:ascii="Arial" w:hAnsi="Arial" w:cs="Arial"/>
                <w:sz w:val="18"/>
                <w:szCs w:val="18"/>
              </w:rPr>
              <w:t xml:space="preserve"> when awarding social and other specific services. Although Directive 2014/24/EU (Articles 74–77) does not restate Article 57 within the special regime, it </w:t>
            </w:r>
            <w:r w:rsidRPr="00FD5108">
              <w:rPr>
                <w:rFonts w:ascii="Arial" w:hAnsi="Arial" w:cs="Arial"/>
                <w:i/>
                <w:iCs/>
                <w:sz w:val="18"/>
                <w:szCs w:val="18"/>
              </w:rPr>
              <w:t>does not waive</w:t>
            </w:r>
            <w:r w:rsidRPr="007B6DAE">
              <w:rPr>
                <w:rFonts w:ascii="Arial" w:hAnsi="Arial" w:cs="Arial"/>
                <w:sz w:val="18"/>
                <w:szCs w:val="18"/>
              </w:rPr>
              <w:t xml:space="preserve"> exclusion grounds; general rules continue to apply unless expressly derogated. Mandatory exclusion grounds under Article 57 (e.g. corruption, fraud, money laundering, participation in criminal organisations, trafficking</w:t>
            </w:r>
            <w:r>
              <w:rPr>
                <w:rFonts w:ascii="Arial" w:hAnsi="Arial" w:cs="Arial"/>
                <w:sz w:val="18"/>
                <w:szCs w:val="18"/>
              </w:rPr>
              <w:t xml:space="preserve"> etc.</w:t>
            </w:r>
            <w:r w:rsidRPr="007B6DAE">
              <w:rPr>
                <w:rFonts w:ascii="Arial" w:hAnsi="Arial" w:cs="Arial"/>
                <w:sz w:val="18"/>
                <w:szCs w:val="18"/>
              </w:rPr>
              <w:t xml:space="preserve">) apply to </w:t>
            </w:r>
            <w:r w:rsidRPr="00FD5108">
              <w:rPr>
                <w:rFonts w:ascii="Arial" w:hAnsi="Arial" w:cs="Arial"/>
                <w:i/>
                <w:iCs/>
                <w:sz w:val="18"/>
                <w:szCs w:val="18"/>
              </w:rPr>
              <w:t>all</w:t>
            </w:r>
            <w:r w:rsidRPr="007B6DAE">
              <w:rPr>
                <w:rFonts w:ascii="Arial" w:hAnsi="Arial" w:cs="Arial"/>
                <w:sz w:val="18"/>
                <w:szCs w:val="18"/>
              </w:rPr>
              <w:t xml:space="preserve"> public contracts above the EU threshold, including social services. Allowing contracting authorities to disregard exclusion criteria creates serious integrity risks and could permit participation of operators convicted of serious offences in the delivery of sensitive social services. Paragraph 5 should therefore be revised to ensure that </w:t>
            </w:r>
            <w:r w:rsidRPr="00FD5108">
              <w:rPr>
                <w:rFonts w:ascii="Arial" w:hAnsi="Arial" w:cs="Arial"/>
                <w:i/>
                <w:iCs/>
                <w:sz w:val="18"/>
                <w:szCs w:val="18"/>
              </w:rPr>
              <w:t>mandatory exclusion grounds remain applicable</w:t>
            </w:r>
            <w:r w:rsidRPr="007B6DAE">
              <w:rPr>
                <w:rFonts w:ascii="Arial" w:hAnsi="Arial" w:cs="Arial"/>
                <w:sz w:val="18"/>
                <w:szCs w:val="18"/>
              </w:rPr>
              <w:t xml:space="preserve">, with flexibility applied only to </w:t>
            </w:r>
            <w:r w:rsidRPr="00FD5108">
              <w:rPr>
                <w:rFonts w:ascii="Arial" w:hAnsi="Arial" w:cs="Arial"/>
                <w:sz w:val="18"/>
                <w:szCs w:val="18"/>
              </w:rPr>
              <w:t>optional exclusion grounds.</w:t>
            </w:r>
          </w:p>
        </w:tc>
      </w:tr>
      <w:tr w:rsidR="008E40F6" w:rsidRPr="00F23ECC" w14:paraId="3C7DDF75" w14:textId="77777777" w:rsidTr="00715B97">
        <w:tc>
          <w:tcPr>
            <w:tcW w:w="1276" w:type="dxa"/>
          </w:tcPr>
          <w:p w14:paraId="6D26C419" w14:textId="77777777" w:rsidR="008E40F6" w:rsidRDefault="008E40F6" w:rsidP="00715B97">
            <w:pPr>
              <w:spacing w:after="60"/>
              <w:rPr>
                <w:rFonts w:ascii="Arial" w:hAnsi="Arial" w:cs="Arial"/>
                <w:b/>
                <w:bCs/>
                <w:sz w:val="18"/>
                <w:szCs w:val="18"/>
              </w:rPr>
            </w:pPr>
            <w:r>
              <w:rPr>
                <w:rFonts w:ascii="Arial" w:hAnsi="Arial" w:cs="Arial"/>
                <w:b/>
                <w:bCs/>
                <w:sz w:val="18"/>
                <w:szCs w:val="18"/>
              </w:rPr>
              <w:t>Article 352</w:t>
            </w:r>
          </w:p>
        </w:tc>
        <w:tc>
          <w:tcPr>
            <w:tcW w:w="2410" w:type="dxa"/>
          </w:tcPr>
          <w:p w14:paraId="033DD9AA" w14:textId="77777777" w:rsidR="008E40F6" w:rsidRPr="004C3721" w:rsidRDefault="008E40F6" w:rsidP="00715B97">
            <w:pPr>
              <w:spacing w:after="60"/>
              <w:rPr>
                <w:rFonts w:ascii="Arial" w:hAnsi="Arial" w:cs="Arial"/>
                <w:sz w:val="18"/>
                <w:szCs w:val="18"/>
              </w:rPr>
            </w:pPr>
            <w:r w:rsidRPr="008018A6">
              <w:rPr>
                <w:rFonts w:ascii="Arial" w:hAnsi="Arial" w:cs="Arial"/>
                <w:sz w:val="18"/>
                <w:szCs w:val="18"/>
              </w:rPr>
              <w:t>Notices for design contests</w:t>
            </w:r>
          </w:p>
        </w:tc>
        <w:tc>
          <w:tcPr>
            <w:tcW w:w="5386" w:type="dxa"/>
          </w:tcPr>
          <w:p w14:paraId="76D3F57E" w14:textId="77777777" w:rsidR="008E40F6" w:rsidRPr="004C3721" w:rsidRDefault="008E40F6" w:rsidP="00715B97">
            <w:pPr>
              <w:spacing w:after="60"/>
              <w:jc w:val="left"/>
              <w:rPr>
                <w:rFonts w:ascii="Arial" w:hAnsi="Arial" w:cs="Arial"/>
                <w:sz w:val="18"/>
                <w:szCs w:val="18"/>
              </w:rPr>
            </w:pPr>
            <w:r w:rsidRPr="008018A6">
              <w:rPr>
                <w:rFonts w:ascii="Arial" w:hAnsi="Arial" w:cs="Arial"/>
                <w:sz w:val="18"/>
                <w:szCs w:val="18"/>
              </w:rPr>
              <w:t xml:space="preserve">Article 352 regulates the publication of notices for design contests and notices of results. However, it </w:t>
            </w:r>
            <w:r w:rsidRPr="00FD5108">
              <w:rPr>
                <w:rFonts w:ascii="Arial" w:hAnsi="Arial" w:cs="Arial"/>
                <w:sz w:val="18"/>
                <w:szCs w:val="18"/>
              </w:rPr>
              <w:t xml:space="preserve">does not transpose </w:t>
            </w:r>
            <w:r w:rsidRPr="008018A6">
              <w:rPr>
                <w:rFonts w:ascii="Arial" w:hAnsi="Arial" w:cs="Arial"/>
                <w:sz w:val="18"/>
                <w:szCs w:val="18"/>
              </w:rPr>
              <w:t xml:space="preserve">the second subparagraph of Article 79(2) of Directive 2014/24/EU. Under the Directive, contracting authorities may </w:t>
            </w:r>
            <w:r w:rsidRPr="008018A6">
              <w:rPr>
                <w:rFonts w:ascii="Arial" w:hAnsi="Arial" w:cs="Arial"/>
                <w:i/>
                <w:iCs/>
                <w:sz w:val="18"/>
                <w:szCs w:val="18"/>
              </w:rPr>
              <w:t>withhold</w:t>
            </w:r>
            <w:r w:rsidRPr="008018A6">
              <w:rPr>
                <w:rFonts w:ascii="Arial" w:hAnsi="Arial" w:cs="Arial"/>
                <w:sz w:val="18"/>
                <w:szCs w:val="18"/>
              </w:rPr>
              <w:t xml:space="preserve"> certain information on the outcome of the design contest </w:t>
            </w:r>
            <w:r w:rsidRPr="00FD5108">
              <w:rPr>
                <w:rFonts w:ascii="Arial" w:hAnsi="Arial" w:cs="Arial"/>
                <w:i/>
                <w:iCs/>
                <w:sz w:val="18"/>
                <w:szCs w:val="18"/>
              </w:rPr>
              <w:t>where publication would impede law enforcement, be contrary to the public interest, prejudice legitimate commercial interests, or distort fair competition</w:t>
            </w:r>
            <w:r w:rsidRPr="008018A6">
              <w:rPr>
                <w:rFonts w:ascii="Arial" w:hAnsi="Arial" w:cs="Arial"/>
                <w:sz w:val="18"/>
                <w:szCs w:val="18"/>
              </w:rPr>
              <w:t>. This safeguard is essential to protect sensitive information and ensure compliance with key principles of confidentiality and competition. The missing clause should be added to ensure full alignment with Article 79(2) of the Directive.</w:t>
            </w:r>
          </w:p>
        </w:tc>
      </w:tr>
      <w:tr w:rsidR="008E40F6" w:rsidRPr="00F23ECC" w14:paraId="35F626E9" w14:textId="77777777" w:rsidTr="00715B97">
        <w:tc>
          <w:tcPr>
            <w:tcW w:w="1276" w:type="dxa"/>
          </w:tcPr>
          <w:p w14:paraId="43F25FA6" w14:textId="77777777" w:rsidR="008E40F6" w:rsidRDefault="008E40F6" w:rsidP="00715B97">
            <w:pPr>
              <w:spacing w:after="60"/>
              <w:rPr>
                <w:rFonts w:ascii="Arial" w:hAnsi="Arial" w:cs="Arial"/>
                <w:b/>
                <w:bCs/>
                <w:sz w:val="18"/>
                <w:szCs w:val="18"/>
              </w:rPr>
            </w:pPr>
            <w:r>
              <w:rPr>
                <w:rFonts w:ascii="Arial" w:hAnsi="Arial" w:cs="Arial"/>
                <w:b/>
                <w:bCs/>
                <w:sz w:val="18"/>
                <w:szCs w:val="18"/>
              </w:rPr>
              <w:t>Article 391</w:t>
            </w:r>
          </w:p>
        </w:tc>
        <w:tc>
          <w:tcPr>
            <w:tcW w:w="2410" w:type="dxa"/>
          </w:tcPr>
          <w:p w14:paraId="444C3C78" w14:textId="77777777" w:rsidR="008E40F6" w:rsidRPr="004C3721" w:rsidRDefault="008E40F6" w:rsidP="00715B97">
            <w:pPr>
              <w:spacing w:after="60"/>
              <w:rPr>
                <w:rFonts w:ascii="Arial" w:hAnsi="Arial" w:cs="Arial"/>
                <w:sz w:val="18"/>
                <w:szCs w:val="18"/>
              </w:rPr>
            </w:pPr>
            <w:r>
              <w:rPr>
                <w:rFonts w:ascii="Arial" w:hAnsi="Arial" w:cs="Arial"/>
                <w:sz w:val="18"/>
                <w:szCs w:val="18"/>
              </w:rPr>
              <w:t>Contract award n</w:t>
            </w:r>
            <w:r w:rsidRPr="00177DEE">
              <w:rPr>
                <w:rFonts w:ascii="Arial" w:hAnsi="Arial" w:cs="Arial"/>
                <w:sz w:val="18"/>
                <w:szCs w:val="18"/>
              </w:rPr>
              <w:t>otice for utilities</w:t>
            </w:r>
          </w:p>
        </w:tc>
        <w:tc>
          <w:tcPr>
            <w:tcW w:w="5386" w:type="dxa"/>
          </w:tcPr>
          <w:p w14:paraId="3BB8A747" w14:textId="77777777" w:rsidR="008E40F6" w:rsidRPr="004C3721" w:rsidRDefault="008E40F6" w:rsidP="00715B97">
            <w:pPr>
              <w:spacing w:after="60"/>
              <w:jc w:val="left"/>
              <w:rPr>
                <w:rFonts w:ascii="Arial" w:hAnsi="Arial" w:cs="Arial"/>
                <w:sz w:val="18"/>
                <w:szCs w:val="18"/>
              </w:rPr>
            </w:pPr>
            <w:r w:rsidRPr="00177DEE">
              <w:rPr>
                <w:rFonts w:ascii="Arial" w:hAnsi="Arial" w:cs="Arial"/>
                <w:sz w:val="18"/>
                <w:szCs w:val="18"/>
              </w:rPr>
              <w:t xml:space="preserve">Article 391 requires utilities contracting entities to publish contract award notices and full contract documents but </w:t>
            </w:r>
            <w:r w:rsidRPr="004D040D">
              <w:rPr>
                <w:rFonts w:ascii="Arial" w:hAnsi="Arial" w:cs="Arial"/>
                <w:sz w:val="18"/>
                <w:szCs w:val="18"/>
              </w:rPr>
              <w:t>fails to transpose Article 70(3) of Directive 2014/25/EU</w:t>
            </w:r>
            <w:r w:rsidRPr="00177DEE">
              <w:rPr>
                <w:rFonts w:ascii="Arial" w:hAnsi="Arial" w:cs="Arial"/>
                <w:sz w:val="18"/>
                <w:szCs w:val="18"/>
              </w:rPr>
              <w:t>, which allows withholding certain information where publication would: (i) impede law enforcement; (ii) be contrary to the public interest; (iii) prejudice the legitimate commercial interests of a particular economic operator; or (iv) distort fair competition. The absence of this provision results in a rigid transparency requirement that may compromise confidential business data</w:t>
            </w:r>
            <w:r>
              <w:rPr>
                <w:rFonts w:ascii="Arial" w:hAnsi="Arial" w:cs="Arial"/>
                <w:sz w:val="18"/>
                <w:szCs w:val="18"/>
              </w:rPr>
              <w:t xml:space="preserve"> and</w:t>
            </w:r>
            <w:r w:rsidRPr="00177DEE">
              <w:rPr>
                <w:rFonts w:ascii="Arial" w:hAnsi="Arial" w:cs="Arial"/>
                <w:sz w:val="18"/>
                <w:szCs w:val="18"/>
              </w:rPr>
              <w:t xml:space="preserve"> harm competitive neutrality. To ensure compliance with the Directive and protect legitimate confidentiality interests, the missing clause should be added.</w:t>
            </w:r>
          </w:p>
        </w:tc>
      </w:tr>
      <w:tr w:rsidR="008E40F6" w:rsidRPr="00F23ECC" w14:paraId="35714F79" w14:textId="77777777" w:rsidTr="00715B97">
        <w:tc>
          <w:tcPr>
            <w:tcW w:w="1276" w:type="dxa"/>
          </w:tcPr>
          <w:p w14:paraId="3F3F8380" w14:textId="77777777" w:rsidR="008E40F6" w:rsidRDefault="008E40F6" w:rsidP="00715B97">
            <w:pPr>
              <w:spacing w:after="60"/>
              <w:rPr>
                <w:rFonts w:ascii="Arial" w:hAnsi="Arial" w:cs="Arial"/>
                <w:b/>
                <w:bCs/>
                <w:sz w:val="18"/>
                <w:szCs w:val="18"/>
              </w:rPr>
            </w:pPr>
            <w:r w:rsidRPr="000E6040">
              <w:rPr>
                <w:rFonts w:ascii="Arial" w:hAnsi="Arial" w:cs="Arial"/>
                <w:b/>
                <w:bCs/>
                <w:sz w:val="18"/>
                <w:szCs w:val="18"/>
              </w:rPr>
              <w:lastRenderedPageBreak/>
              <w:t xml:space="preserve">Article 515 </w:t>
            </w:r>
          </w:p>
        </w:tc>
        <w:tc>
          <w:tcPr>
            <w:tcW w:w="2410" w:type="dxa"/>
          </w:tcPr>
          <w:p w14:paraId="02A48A97" w14:textId="77777777" w:rsidR="008E40F6" w:rsidRPr="000E6040" w:rsidRDefault="008E40F6" w:rsidP="00715B97">
            <w:pPr>
              <w:spacing w:after="60"/>
              <w:jc w:val="left"/>
              <w:rPr>
                <w:rFonts w:ascii="Arial" w:hAnsi="Arial" w:cs="Arial"/>
                <w:sz w:val="18"/>
                <w:szCs w:val="18"/>
              </w:rPr>
            </w:pPr>
            <w:r w:rsidRPr="000E6040">
              <w:rPr>
                <w:rFonts w:ascii="Arial" w:hAnsi="Arial" w:cs="Arial"/>
                <w:sz w:val="18"/>
                <w:szCs w:val="18"/>
              </w:rPr>
              <w:t>Ineffectiveness of contracts and fines</w:t>
            </w:r>
          </w:p>
        </w:tc>
        <w:tc>
          <w:tcPr>
            <w:tcW w:w="5386" w:type="dxa"/>
          </w:tcPr>
          <w:p w14:paraId="7D656219" w14:textId="77777777" w:rsidR="008E40F6" w:rsidRPr="00177DEE" w:rsidRDefault="008E40F6" w:rsidP="00715B97">
            <w:pPr>
              <w:spacing w:after="60"/>
              <w:jc w:val="left"/>
              <w:rPr>
                <w:rFonts w:ascii="Arial" w:hAnsi="Arial" w:cs="Arial"/>
                <w:sz w:val="18"/>
                <w:szCs w:val="18"/>
              </w:rPr>
            </w:pPr>
            <w:r w:rsidRPr="000E6040">
              <w:rPr>
                <w:rFonts w:ascii="Arial" w:hAnsi="Arial" w:cs="Arial"/>
                <w:sz w:val="18"/>
                <w:szCs w:val="18"/>
              </w:rPr>
              <w:t xml:space="preserve">Article 515 transposes the rules on contract ineffectiveness but </w:t>
            </w:r>
            <w:r w:rsidRPr="004D040D">
              <w:rPr>
                <w:rFonts w:ascii="Arial" w:hAnsi="Arial" w:cs="Arial"/>
                <w:sz w:val="18"/>
                <w:szCs w:val="18"/>
              </w:rPr>
              <w:t>does not include the exceptions required by Article 2d(4) and 2d(5) of Directive 2007/66/EC</w:t>
            </w:r>
            <w:r w:rsidRPr="000E6040">
              <w:rPr>
                <w:rFonts w:ascii="Arial" w:hAnsi="Arial" w:cs="Arial"/>
                <w:sz w:val="18"/>
                <w:szCs w:val="18"/>
              </w:rPr>
              <w:t xml:space="preserve">. Under </w:t>
            </w:r>
            <w:r>
              <w:rPr>
                <w:rFonts w:ascii="Arial" w:hAnsi="Arial" w:cs="Arial"/>
                <w:sz w:val="18"/>
                <w:szCs w:val="18"/>
              </w:rPr>
              <w:t>Remedies directives</w:t>
            </w:r>
            <w:r w:rsidRPr="000E6040">
              <w:rPr>
                <w:rFonts w:ascii="Arial" w:hAnsi="Arial" w:cs="Arial"/>
                <w:sz w:val="18"/>
                <w:szCs w:val="18"/>
              </w:rPr>
              <w:t xml:space="preserve">, ineffectiveness must </w:t>
            </w:r>
            <w:r w:rsidRPr="000E6040">
              <w:rPr>
                <w:rFonts w:ascii="Arial" w:hAnsi="Arial" w:cs="Arial"/>
                <w:i/>
                <w:iCs/>
                <w:sz w:val="18"/>
                <w:szCs w:val="18"/>
              </w:rPr>
              <w:t>not</w:t>
            </w:r>
            <w:r w:rsidRPr="000E6040">
              <w:rPr>
                <w:rFonts w:ascii="Arial" w:hAnsi="Arial" w:cs="Arial"/>
                <w:sz w:val="18"/>
                <w:szCs w:val="18"/>
              </w:rPr>
              <w:t xml:space="preserve"> apply in two situations: (i) where the contracting authority relied on a permitted use of negotiated procedure without prior publication and published a voluntary ex ante transparency notice (VEAT), followed by a standstill period; and (ii) where the authority awarded a contract under framework agreement or DPS, sent the award decision to concerned tenderers with a summary of reasons and respected the standstill period. These safeguards are </w:t>
            </w:r>
            <w:r w:rsidRPr="004D040D">
              <w:rPr>
                <w:rFonts w:ascii="Arial" w:hAnsi="Arial" w:cs="Arial"/>
                <w:sz w:val="18"/>
                <w:szCs w:val="18"/>
              </w:rPr>
              <w:t>mandatory components of EU remedies architecture</w:t>
            </w:r>
            <w:r w:rsidRPr="000E6040">
              <w:rPr>
                <w:rFonts w:ascii="Arial" w:hAnsi="Arial" w:cs="Arial"/>
                <w:sz w:val="18"/>
                <w:szCs w:val="18"/>
              </w:rPr>
              <w:t>, ensuring proportionality and legal certainty. Their absence in Article 515 removes a mechanism used by EU Member States to mitigate the most severe remedy where a contracting authority had a reasonable legal basis for its decision. Incorporating these exceptions is essential for full compliance with EU law.</w:t>
            </w:r>
          </w:p>
        </w:tc>
      </w:tr>
    </w:tbl>
    <w:p w14:paraId="57029F36" w14:textId="77777777" w:rsidR="008E40F6" w:rsidRPr="00567142" w:rsidRDefault="008E40F6" w:rsidP="008E40F6">
      <w:pPr>
        <w:spacing w:before="120" w:after="120"/>
        <w:rPr>
          <w:rFonts w:cstheme="minorHAnsi"/>
          <w:sz w:val="20"/>
          <w:szCs w:val="20"/>
        </w:rPr>
      </w:pPr>
      <w:r w:rsidRPr="00567142">
        <w:rPr>
          <w:rFonts w:cstheme="minorHAnsi"/>
          <w:sz w:val="20"/>
          <w:szCs w:val="20"/>
        </w:rPr>
        <w:t>In addition to the provisions identified as not fully aligned with the EU acquis, the draft Law contains a number of mechanisms and institutional solutions that</w:t>
      </w:r>
      <w:r>
        <w:rPr>
          <w:rFonts w:cstheme="minorHAnsi"/>
          <w:sz w:val="20"/>
          <w:szCs w:val="20"/>
        </w:rPr>
        <w:t xml:space="preserve"> </w:t>
      </w:r>
      <w:r w:rsidRPr="00567142">
        <w:rPr>
          <w:rFonts w:cstheme="minorHAnsi"/>
          <w:sz w:val="20"/>
          <w:szCs w:val="20"/>
        </w:rPr>
        <w:t>raise concerns regarding proportionality, administrative feasibility</w:t>
      </w:r>
      <w:r>
        <w:rPr>
          <w:rFonts w:cstheme="minorHAnsi"/>
          <w:sz w:val="20"/>
          <w:szCs w:val="20"/>
        </w:rPr>
        <w:t xml:space="preserve"> and</w:t>
      </w:r>
      <w:r w:rsidRPr="00567142">
        <w:rPr>
          <w:rFonts w:cstheme="minorHAnsi"/>
          <w:sz w:val="20"/>
          <w:szCs w:val="20"/>
        </w:rPr>
        <w:t xml:space="preserve"> legal certainty. These are outlined below.</w:t>
      </w:r>
    </w:p>
    <w:p w14:paraId="1AA2B4AF"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11 – Electronic communication and “automatic generation”</w:t>
      </w:r>
    </w:p>
    <w:p w14:paraId="6EFA5DC9"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Article 11(1) requires that </w:t>
      </w:r>
      <w:r w:rsidRPr="00567142">
        <w:rPr>
          <w:rFonts w:cstheme="minorHAnsi"/>
          <w:i/>
          <w:iCs/>
          <w:sz w:val="20"/>
          <w:szCs w:val="20"/>
        </w:rPr>
        <w:t>all</w:t>
      </w:r>
      <w:r w:rsidRPr="00567142">
        <w:rPr>
          <w:rFonts w:cstheme="minorHAnsi"/>
          <w:sz w:val="20"/>
          <w:szCs w:val="20"/>
        </w:rPr>
        <w:t xml:space="preserve"> communication and exchange of documents, data and information in procurement procedures be carried out through “automatic generation by electronic means” within the e-Procurement system. This formulation is overly broad and technically unrealistic. In practice, many documents require human drafting, expert judgment, or discretionary decision-making (e.g. clarifications, evaluation reports, decisions, technical specifications, responses to complaints). Even when uploaded or transmitted through the e-Procurement system, these documents are not and cannot be “automatically generated.”. Making automatic generation a legal condition for validity risks significant legal uncertainty. Any document produced manually and subsequently uploaded could be challenged as non-compliant. The requirement also goes well beyond EU rules, which oblige contracting authorities to use electronic means of communication, but do not require or envisage automatic system-generated documentation. As drafted, the provision may therefore lead to misinterpretation by oversight bodies, unnecessary disputes and unrealistic expectations regarding the capabilities of the IT system.</w:t>
      </w:r>
    </w:p>
    <w:p w14:paraId="15ECDB69"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19(7) – Criminal liability for access to the e-Procurement system</w:t>
      </w:r>
    </w:p>
    <w:p w14:paraId="3AAA1A7F"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Article 19(7) provides that </w:t>
      </w:r>
      <w:r w:rsidRPr="00567142">
        <w:rPr>
          <w:rFonts w:cstheme="minorHAnsi"/>
          <w:i/>
          <w:iCs/>
          <w:sz w:val="20"/>
          <w:szCs w:val="20"/>
        </w:rPr>
        <w:t>“access to the e-Procurement information system outside the limits of institutional competence entails criminal liability.”</w:t>
      </w:r>
      <w:r w:rsidRPr="00567142">
        <w:rPr>
          <w:rFonts w:cstheme="minorHAnsi"/>
          <w:sz w:val="20"/>
          <w:szCs w:val="20"/>
        </w:rPr>
        <w:t xml:space="preserve"> This formulation is vague, overly broad and inconsistent with basic principles of legality and legal certainty. The provision does not define what constitutes “access outside the limits of institutional competence”. In electronic systems, access rights are regulated through technical permissions. If the system grants access due to configuration or error, the user cannot be exposed to criminal liability for actions permitted by the system itself.</w:t>
      </w:r>
    </w:p>
    <w:p w14:paraId="2AC73B53" w14:textId="77777777" w:rsidR="008E40F6" w:rsidRPr="00567142" w:rsidRDefault="008E40F6" w:rsidP="008E40F6">
      <w:pPr>
        <w:spacing w:before="120" w:after="120"/>
        <w:rPr>
          <w:rFonts w:cstheme="minorHAnsi"/>
          <w:sz w:val="20"/>
          <w:szCs w:val="20"/>
        </w:rPr>
      </w:pPr>
      <w:r w:rsidRPr="00567142">
        <w:rPr>
          <w:rFonts w:cstheme="minorHAnsi"/>
          <w:sz w:val="20"/>
          <w:szCs w:val="20"/>
        </w:rPr>
        <w:t>Moreover, criminal liability cannot be attached to an undefined concept of “access” without specifying the nature of the prohibited conduct, the required intent, or the harm involved. Criminal law should be reserved for clearly defined, serious and intentional abuses, not for technical or administrative irregularities related to IT system use. The provision is also difficult to reconcile with paragraph (8), which recognises all taxpayers and citizens as potential users of the system. Broad user access and vaguely defined criminal liability are incompatible.</w:t>
      </w:r>
    </w:p>
    <w:p w14:paraId="383BBA0B"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For these reasons, paragraph (7) should be substantially revised. </w:t>
      </w:r>
    </w:p>
    <w:p w14:paraId="665CF822"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21(5) and (6) – Determination of contracting authority status and the Single Register</w:t>
      </w:r>
    </w:p>
    <w:p w14:paraId="17A81CC7"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Paragraph (5) empowers the PPA to “determine the status” of an entity as a contracting authority. This mechanism appears unnecessary and duplicative. The draft Law itself defines the categories of contracting authorities and entities, and any organisation meeting those definitions is already legally obliged to apply the Public Procurement </w:t>
      </w:r>
      <w:r w:rsidRPr="00567142">
        <w:rPr>
          <w:rFonts w:cstheme="minorHAnsi"/>
          <w:sz w:val="20"/>
          <w:szCs w:val="20"/>
        </w:rPr>
        <w:lastRenderedPageBreak/>
        <w:t>Law, irrespective of whether it has been administratively “recognised” by the PPA. The existence of such a determination procedure therefore adds little legal clarity and may instead create confusion. Furthermore, the draft does not define its scope, procedure, time limits, required documentation or the availability of appeal mechanism. Without such safeguards, the provision risks generating uncertainty for institutions and offering no tangible benefit to the functioning of the procurement system.</w:t>
      </w:r>
    </w:p>
    <w:p w14:paraId="2764AB67"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 (6) raises additional concerns. The draft introduces a “Single Register of entities obliged to apply the law,” yet the purpose, legal effect and relationship of this Register with the list of contracting authorities foreseen under paragraph (4) and with the mandatory registration of users in the e-Procurement system are not explained. Because contracting authorities/entities already provide identification data and maintain user accounts in the e-Procurement platform, it is unclear whether the Register creates a new, parallel registration obligation or merely replicates information already held by the system. In the absence of a clear justification, maintaining two separate instruments covering essentially the same information risks administrative inefficiency, overlapping obligations and ambiguity as to which instrument prevails in case of discrepancy.</w:t>
      </w:r>
    </w:p>
    <w:p w14:paraId="5C104F3B" w14:textId="77777777" w:rsidR="008E40F6" w:rsidRPr="00567142" w:rsidRDefault="008E40F6" w:rsidP="008E40F6">
      <w:pPr>
        <w:spacing w:before="120" w:after="120"/>
        <w:rPr>
          <w:rFonts w:cstheme="minorHAnsi"/>
          <w:sz w:val="20"/>
          <w:szCs w:val="20"/>
        </w:rPr>
      </w:pPr>
      <w:r w:rsidRPr="00567142">
        <w:rPr>
          <w:rFonts w:cstheme="minorHAnsi"/>
          <w:sz w:val="20"/>
          <w:szCs w:val="20"/>
        </w:rPr>
        <w:t>For these reasons, the provisions should be revised. The draft Law should avoid creating parallel or redundant mechanisms for identifying contracting authorities and should ensure that any registration requirements are justified and proportionate.</w:t>
      </w:r>
    </w:p>
    <w:p w14:paraId="78BC68D7"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 xml:space="preserve">Article 52 (5) and (7) – Requirement for ex ante performance audits and legislative approval </w:t>
      </w:r>
    </w:p>
    <w:p w14:paraId="6F0EFB36"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 (5) introduces a requirement that contracting authorities may initiate procurement procedures above 250,000 KM only after obtaining a performance audit from the competent public sector audit office confirming the justification of the procurement. This mechanism raises significant legal, institutional and practical concerns.</w:t>
      </w:r>
    </w:p>
    <w:p w14:paraId="2CC8313E"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Audit offices operate under clearly defined mandates based on applicable legislation and international standards (INTOSAI), which focus on </w:t>
      </w:r>
      <w:r w:rsidRPr="00567142">
        <w:rPr>
          <w:rFonts w:cstheme="minorHAnsi"/>
          <w:i/>
          <w:iCs/>
          <w:sz w:val="20"/>
          <w:szCs w:val="20"/>
        </w:rPr>
        <w:t>ex post</w:t>
      </w:r>
      <w:r w:rsidRPr="00567142">
        <w:rPr>
          <w:rFonts w:cstheme="minorHAnsi"/>
          <w:sz w:val="20"/>
          <w:szCs w:val="20"/>
        </w:rPr>
        <w:t xml:space="preserve"> oversight of legality, economy, efficiency and effectiveness. It is unclear whether they have the legal authority or capacity to conduct </w:t>
      </w:r>
      <w:r w:rsidRPr="00567142">
        <w:rPr>
          <w:rFonts w:cstheme="minorHAnsi"/>
          <w:i/>
          <w:iCs/>
          <w:sz w:val="20"/>
          <w:szCs w:val="20"/>
        </w:rPr>
        <w:t>ex ante</w:t>
      </w:r>
      <w:r w:rsidRPr="00567142">
        <w:rPr>
          <w:rFonts w:cstheme="minorHAnsi"/>
          <w:sz w:val="20"/>
          <w:szCs w:val="20"/>
        </w:rPr>
        <w:t xml:space="preserve"> assessments of individual procurement decisions. In addition, some contracting entities, such as public companies or state-owned enterprises, may fall under financial audit regimes rather than public sector audits, meaning that the draft Law assigns responsibilities that may lie outside the established competence of audit institutions.</w:t>
      </w:r>
    </w:p>
    <w:p w14:paraId="1715DD49"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The provision also effectively transfers a core budgetary and managerial responsibility from contracting authorities to audit offices. Budgetary allocations are approved by parliaments and procurement plans reflect those decisions. It is therefore unclear on what legal basis an audit institution could determine that a project already approved through the budget process is “not justified,” or what consequence such a finding would have. This creates a tension between the role of parliaments in public finance management and the role of audit institutions in </w:t>
      </w:r>
      <w:r w:rsidRPr="00567142">
        <w:rPr>
          <w:rFonts w:cstheme="minorHAnsi"/>
          <w:i/>
          <w:iCs/>
          <w:sz w:val="20"/>
          <w:szCs w:val="20"/>
        </w:rPr>
        <w:t>ex post</w:t>
      </w:r>
      <w:r w:rsidRPr="00567142">
        <w:rPr>
          <w:rFonts w:cstheme="minorHAnsi"/>
          <w:sz w:val="20"/>
          <w:szCs w:val="20"/>
        </w:rPr>
        <w:t xml:space="preserve"> accountability.</w:t>
      </w:r>
    </w:p>
    <w:p w14:paraId="3CD6F11E" w14:textId="77777777" w:rsidR="008E40F6" w:rsidRPr="00567142" w:rsidRDefault="008E40F6" w:rsidP="008E40F6">
      <w:pPr>
        <w:spacing w:before="120" w:after="120"/>
        <w:rPr>
          <w:rFonts w:cstheme="minorHAnsi"/>
          <w:sz w:val="20"/>
          <w:szCs w:val="20"/>
        </w:rPr>
      </w:pPr>
      <w:r w:rsidRPr="00567142">
        <w:rPr>
          <w:rFonts w:cstheme="minorHAnsi"/>
          <w:sz w:val="20"/>
          <w:szCs w:val="20"/>
        </w:rPr>
        <w:t>Operationally, the requirement does not appear feasible. Thousands of procurements annually exceed the 250,000 KM threshold. Expecting audit institutions to deliver timely and substantive justification assessments for each such procurement is unrealistic given their limited staffing and mandate. Inevitably, the requirement would either cause significant delays or degenerate into a purely formal confirmation, adding bureaucracy without improving integrity or efficiency.</w:t>
      </w:r>
    </w:p>
    <w:p w14:paraId="1CECDD33"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 (7) replicates this model for excluded procurements above 50,000 KM and introduces an additional requirement, prior approval by the legislative body of the relevant level of government. All concerns raised in relation to paragraph (5) apply equally here, compounded by additional problems.</w:t>
      </w:r>
    </w:p>
    <w:p w14:paraId="45EEA413"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First, the list of exclusions under the draft Law is broad and includes a variety of contracts, such as employment contracts. Given that the cumulative value of employment contracts over several years typically exceeds 50,000 KM, contracting authorities would need to seek performance audit confirmation for practically every employment contract. This is clearly impracticable and incompatible with the operational realities of public administration. Second, requiring legislative approval for excluded procurements is inconsistent with the separation of powers and would create severe bottlenecks. Third, the exceptions to the requirement (such as “extraordinary circumstances”) are vaguely drafted, creating legal uncertainty. Fourth, assigning audit institutions a role in </w:t>
      </w:r>
      <w:r w:rsidRPr="00567142">
        <w:rPr>
          <w:rFonts w:cstheme="minorHAnsi"/>
          <w:i/>
          <w:iCs/>
          <w:sz w:val="20"/>
          <w:szCs w:val="20"/>
        </w:rPr>
        <w:t>ex ante</w:t>
      </w:r>
      <w:r w:rsidRPr="00567142">
        <w:rPr>
          <w:rFonts w:cstheme="minorHAnsi"/>
          <w:sz w:val="20"/>
          <w:szCs w:val="20"/>
        </w:rPr>
        <w:t xml:space="preserve"> approval of excluded procurements compromises their independence and creates a conflict of interest, as the same bodies </w:t>
      </w:r>
      <w:r w:rsidRPr="00567142">
        <w:rPr>
          <w:rFonts w:cstheme="minorHAnsi"/>
          <w:sz w:val="20"/>
          <w:szCs w:val="20"/>
        </w:rPr>
        <w:lastRenderedPageBreak/>
        <w:t xml:space="preserve">would later conduct </w:t>
      </w:r>
      <w:r w:rsidRPr="00567142">
        <w:rPr>
          <w:rFonts w:cstheme="minorHAnsi"/>
          <w:i/>
          <w:iCs/>
          <w:sz w:val="20"/>
          <w:szCs w:val="20"/>
        </w:rPr>
        <w:t>ex post</w:t>
      </w:r>
      <w:r w:rsidRPr="00567142">
        <w:rPr>
          <w:rFonts w:cstheme="minorHAnsi"/>
          <w:sz w:val="20"/>
          <w:szCs w:val="20"/>
        </w:rPr>
        <w:t xml:space="preserve"> audits of decisions they authorised, contrary to principles of audit objectivity and independence.</w:t>
      </w:r>
    </w:p>
    <w:p w14:paraId="6F194FBB" w14:textId="77777777" w:rsidR="008E40F6" w:rsidRPr="00567142" w:rsidRDefault="008E40F6" w:rsidP="008E40F6">
      <w:pPr>
        <w:spacing w:before="120" w:after="120"/>
        <w:rPr>
          <w:rFonts w:cstheme="minorHAnsi"/>
          <w:sz w:val="20"/>
          <w:szCs w:val="20"/>
        </w:rPr>
      </w:pPr>
      <w:r w:rsidRPr="00567142">
        <w:rPr>
          <w:rFonts w:cstheme="minorHAnsi"/>
          <w:sz w:val="20"/>
          <w:szCs w:val="20"/>
        </w:rPr>
        <w:t>Taken together, paragraphs (5) and (7) introduce mechanisms that are not grounded in international best practice, conflict with established institutional mandates, create excessive administrative burdens and risk undermining the independence and credibility of audit institutions. Rather than strengthening procurement oversight, they are likely to produce delays, legal uncertainty and governance risks without added value.</w:t>
      </w:r>
    </w:p>
    <w:p w14:paraId="3914A92D" w14:textId="77777777" w:rsidR="008E40F6" w:rsidRPr="00567142" w:rsidRDefault="008E40F6" w:rsidP="008E40F6">
      <w:pPr>
        <w:spacing w:before="120" w:after="120"/>
        <w:rPr>
          <w:rFonts w:cstheme="minorHAnsi"/>
          <w:sz w:val="20"/>
          <w:szCs w:val="20"/>
        </w:rPr>
      </w:pPr>
      <w:r w:rsidRPr="00567142">
        <w:rPr>
          <w:rFonts w:cstheme="minorHAnsi"/>
          <w:sz w:val="20"/>
          <w:szCs w:val="20"/>
        </w:rPr>
        <w:t>For these reasons, both paragraphs should be reconsidered or removed.</w:t>
      </w:r>
    </w:p>
    <w:p w14:paraId="68AB0115"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 xml:space="preserve">Article 77 (3) and (4) – Oversight and annulment mechanisms for excluded contracts </w:t>
      </w:r>
    </w:p>
    <w:p w14:paraId="03556563"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Paragraphs (3) and (4) introduce an entirely new mechanism for addressing unlawfully applied exclusions. Under these provisions, a wide range of institutions, including audit offices, inspection bodies, competition authorities, prosecutor’s offices and public attorneys, are obliged to initiate procedures for contract annulment or termination whenever they determine that an exclusion has been incorrectly applied or that contract execution deviates from the conditions set out in the exclusion documentation. In addition, any citizen or taxpayer may trigger this process by submitting an initiative, which these institutions are required to act upon.</w:t>
      </w:r>
    </w:p>
    <w:p w14:paraId="7E1F49DF" w14:textId="77777777" w:rsidR="008E40F6" w:rsidRPr="00567142" w:rsidRDefault="008E40F6" w:rsidP="008E40F6">
      <w:pPr>
        <w:spacing w:before="120" w:after="120"/>
        <w:rPr>
          <w:rFonts w:cstheme="minorHAnsi"/>
          <w:sz w:val="20"/>
          <w:szCs w:val="20"/>
        </w:rPr>
      </w:pPr>
      <w:r w:rsidRPr="00567142">
        <w:rPr>
          <w:rFonts w:cstheme="minorHAnsi"/>
          <w:sz w:val="20"/>
          <w:szCs w:val="20"/>
        </w:rPr>
        <w:t>This mechanism is fundamentally inconsistent with the draft Law’s own system of legal remedies. Article 515 clearly establishes the Review Body (URŽ) as the competent authority for declaring contracts ineffective, in line with the Remedies Directive. This provision directly transposes the key mechanism of the Remedies Directive, which requires a review body to declare contracts ineffective in defined circumstances (e.g., illegal direct awards). By contrast, Article 77(3) disregards this established framework and assigns annulment-related responsibilities to a heterogeneous set of institutions without defining what type of procedures they should initiate, before which body, under which legal basis and how this interacts with URŽ’s exclusive competence under Article 515. This creates overlapping and conflicting mandates and undermines the coherence of the remedies system.</w:t>
      </w:r>
    </w:p>
    <w:p w14:paraId="1161F816" w14:textId="77777777" w:rsidR="008E40F6" w:rsidRPr="00567142" w:rsidRDefault="008E40F6" w:rsidP="008E40F6">
      <w:pPr>
        <w:spacing w:before="120" w:after="120"/>
        <w:rPr>
          <w:rFonts w:cstheme="minorHAnsi"/>
          <w:sz w:val="20"/>
          <w:szCs w:val="20"/>
        </w:rPr>
      </w:pPr>
      <w:r w:rsidRPr="00567142">
        <w:rPr>
          <w:rFonts w:cstheme="minorHAnsi"/>
          <w:sz w:val="20"/>
          <w:szCs w:val="20"/>
        </w:rPr>
        <w:t>Moreover, allowing any citizen to submit an initiative compelling these institutions to pursue annulment procedures bypasses the structured rules of legal standing, deadlines and procedural certainty that the remedies system is designed to ensure. Allowing an unlimited number of actors to trigger parallel annulment processes risks destabilising contractual relations, exposing contracting authorities to repeated challenges outside established time limits and creating uncertainty for economic operators.</w:t>
      </w:r>
    </w:p>
    <w:p w14:paraId="76772926" w14:textId="77777777" w:rsidR="008E40F6" w:rsidRPr="00567142" w:rsidRDefault="008E40F6" w:rsidP="008E40F6">
      <w:pPr>
        <w:spacing w:before="120" w:after="120"/>
        <w:rPr>
          <w:rFonts w:cstheme="minorHAnsi"/>
          <w:sz w:val="20"/>
          <w:szCs w:val="20"/>
        </w:rPr>
      </w:pPr>
      <w:r w:rsidRPr="00567142">
        <w:rPr>
          <w:rFonts w:cstheme="minorHAnsi"/>
          <w:sz w:val="20"/>
          <w:szCs w:val="20"/>
        </w:rPr>
        <w:t>Finally, this scheme directly conflicts with the principles of legal certainty and finality embedded in the Remedies Directive. Article 77 introduces no procedural safeguards or temporal limitations, raising the possibility that contracts could be challenged long after award or even after substantial performance.</w:t>
      </w:r>
    </w:p>
    <w:p w14:paraId="547289BE" w14:textId="77777777" w:rsidR="008E40F6" w:rsidRPr="00567142" w:rsidRDefault="008E40F6" w:rsidP="008E40F6">
      <w:pPr>
        <w:spacing w:before="120" w:after="120"/>
        <w:rPr>
          <w:rFonts w:cstheme="minorHAnsi"/>
          <w:sz w:val="20"/>
          <w:szCs w:val="20"/>
        </w:rPr>
      </w:pPr>
      <w:r w:rsidRPr="00567142">
        <w:rPr>
          <w:rFonts w:cstheme="minorHAnsi"/>
          <w:sz w:val="20"/>
          <w:szCs w:val="20"/>
        </w:rPr>
        <w:t>For these reasons, paragraphs (3) and (4) should be removed or comprehensively redrafted. Any mechanism for reviewing the legality of exclusions or declaring contracts ineffective must remain within the exclusive competence of the review body and operate strictly within the procedural guarantees established in Article 515 and the Remedies Directive.</w:t>
      </w:r>
    </w:p>
    <w:p w14:paraId="491B3070"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 xml:space="preserve">Article 91 (2) – Anti-corruption measures and certified statements </w:t>
      </w:r>
    </w:p>
    <w:p w14:paraId="331E208A"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 (2) requires every candidate or tenderer to submit a certified written declaration confirming that they have not offered a bribe and have not participated in corrupt conduct in the procurement concerned. While the intention to strengthen integrity in procurement is legitimate, this measure raises concerns regarding necessity, procedural clarity and actual effectiveness.</w:t>
      </w:r>
    </w:p>
    <w:p w14:paraId="25D31E88" w14:textId="77777777" w:rsidR="008E40F6" w:rsidRPr="00567142" w:rsidRDefault="008E40F6" w:rsidP="008E40F6">
      <w:pPr>
        <w:spacing w:before="120" w:after="120"/>
        <w:rPr>
          <w:rFonts w:cstheme="minorHAnsi"/>
          <w:sz w:val="20"/>
          <w:szCs w:val="20"/>
        </w:rPr>
      </w:pPr>
      <w:r w:rsidRPr="00567142">
        <w:rPr>
          <w:rFonts w:cstheme="minorHAnsi"/>
          <w:sz w:val="20"/>
          <w:szCs w:val="20"/>
        </w:rPr>
        <w:t>First, the obligation introduces an additional administrative burden, particularly for SMEs, without clear evidence that it contributes to corruption prevention. Obtaining a certified statement entails time and cost yet does not meaningfully deter actors willing to engage in corrupt behaviour. Such declarations are typically formalistic. Compliant operators will submit them as a routine requirement, while non-compliant operators are unlikely to self-incriminate. As a result, the measure risks being symbolic rather than substantive.</w:t>
      </w:r>
    </w:p>
    <w:p w14:paraId="2F471D6D"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Second, the provision lacks clarity on several practical aspects, including the procedural stage at which the declaration must be submitted in multi-stage procedures (e.g. restricted procedures, competitive dialogue, negotiated procedures with prior publication), whether it must be re-submitted in later phases and whether </w:t>
      </w:r>
      <w:r w:rsidRPr="00567142">
        <w:rPr>
          <w:rFonts w:cstheme="minorHAnsi"/>
          <w:sz w:val="20"/>
          <w:szCs w:val="20"/>
        </w:rPr>
        <w:lastRenderedPageBreak/>
        <w:t>electronic certification is permissible. The absence of such detail risks inconsistencies in application and potential disputes or exclusions due to differing interpretations among contracting authorities.</w:t>
      </w:r>
    </w:p>
    <w:p w14:paraId="5640A627" w14:textId="77777777" w:rsidR="008E40F6" w:rsidRPr="00567142" w:rsidRDefault="008E40F6" w:rsidP="008E40F6">
      <w:pPr>
        <w:spacing w:before="120" w:after="120"/>
        <w:rPr>
          <w:rFonts w:cstheme="minorHAnsi"/>
          <w:sz w:val="20"/>
          <w:szCs w:val="20"/>
        </w:rPr>
      </w:pPr>
      <w:r w:rsidRPr="00567142">
        <w:rPr>
          <w:rFonts w:cstheme="minorHAnsi"/>
          <w:sz w:val="20"/>
          <w:szCs w:val="20"/>
        </w:rPr>
        <w:t>Third, the requirement may create a false sense of integrity assurance. The existence of a signed statement does not replace the need for effective corruption-prevention.</w:t>
      </w:r>
    </w:p>
    <w:p w14:paraId="093311EB" w14:textId="77777777" w:rsidR="008E40F6" w:rsidRPr="00567142" w:rsidRDefault="008E40F6" w:rsidP="008E40F6">
      <w:pPr>
        <w:spacing w:before="120" w:after="120"/>
        <w:rPr>
          <w:rFonts w:cstheme="minorHAnsi"/>
          <w:sz w:val="20"/>
          <w:szCs w:val="20"/>
        </w:rPr>
      </w:pPr>
      <w:r w:rsidRPr="00567142">
        <w:rPr>
          <w:rFonts w:cstheme="minorHAnsi"/>
          <w:sz w:val="20"/>
          <w:szCs w:val="20"/>
        </w:rPr>
        <w:t>In its current form, paragraph (2) is unlikely to improve integrity outcomes and may instead increase administrative burden and legal uncertainty. A more effective approach would focus on strengthening institutional integrity systems rather than imposing formalistic declarations on tenderers.</w:t>
      </w:r>
    </w:p>
    <w:p w14:paraId="07431F7E"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Chapter XIII — Asset reporting and verification regime</w:t>
      </w:r>
    </w:p>
    <w:p w14:paraId="351BE450" w14:textId="77777777" w:rsidR="008E40F6" w:rsidRPr="00567142" w:rsidRDefault="008E40F6" w:rsidP="008E40F6">
      <w:pPr>
        <w:spacing w:before="120" w:after="120"/>
        <w:rPr>
          <w:rFonts w:cstheme="minorHAnsi"/>
          <w:sz w:val="20"/>
          <w:szCs w:val="20"/>
        </w:rPr>
      </w:pPr>
      <w:r w:rsidRPr="00567142">
        <w:rPr>
          <w:rFonts w:cstheme="minorHAnsi"/>
          <w:sz w:val="20"/>
          <w:szCs w:val="20"/>
        </w:rPr>
        <w:t>Chapter XIII of Part one of the draft Law introduces an extensive system for reporting and verifying asset data and gifts for a wide range of individuals involved in procurement procedures, as well as for officials of the PPA and the URŽ. It also assigns significant new powers to the Agency for the Prevention of Corruption and Coordination of the Fight against Corruption (APIK). The design and placement of these provisions in the draft Law raise several fundamental concerns.</w:t>
      </w:r>
    </w:p>
    <w:p w14:paraId="0A12AC1B" w14:textId="77777777" w:rsidR="008E40F6" w:rsidRPr="00567142" w:rsidRDefault="008E40F6" w:rsidP="008E40F6">
      <w:pPr>
        <w:spacing w:before="120" w:after="120"/>
        <w:rPr>
          <w:rFonts w:cstheme="minorHAnsi"/>
          <w:sz w:val="20"/>
          <w:szCs w:val="20"/>
        </w:rPr>
      </w:pPr>
      <w:r w:rsidRPr="00567142">
        <w:rPr>
          <w:rFonts w:cstheme="minorHAnsi"/>
          <w:sz w:val="20"/>
          <w:szCs w:val="20"/>
        </w:rPr>
        <w:t>First, Bosnia and Herzegovina already has national and entity-level legislation governing conflicts of interest, asset declarations and conduct of public officials, alongside the laws that regulate the mandate and authority of APIK and other integrity bodies. Establishing a parallel, sector-specific asset declaration regime within the Public Procurement Law risks creating overlap, inconsistency and fragmentation with the existing frameworks. Individuals involved in procurement could become subject to multiple, potentially divergent reporting obligations and verification procedures, which undermines legal certainty and increases administrative burden without clear evidence of added benefit.</w:t>
      </w:r>
    </w:p>
    <w:p w14:paraId="09612F86"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Second, the Chapter assigns detailed powers to APIK regarding the collection, verification, storage, publication and destruction of personal asset data. It is questionable whether such institutional competences can or should be created through a sectoral procurement law, rather than through amendments to the dedicated legislation regulating APIK and the wider anti-corruption system. Regulating core aspects of APIK’s mandate in the </w:t>
      </w:r>
      <w:r>
        <w:rPr>
          <w:rFonts w:cstheme="minorHAnsi"/>
          <w:sz w:val="20"/>
          <w:szCs w:val="20"/>
        </w:rPr>
        <w:t>Public Procurement Law</w:t>
      </w:r>
      <w:r w:rsidRPr="00567142">
        <w:rPr>
          <w:rFonts w:cstheme="minorHAnsi"/>
          <w:sz w:val="20"/>
          <w:szCs w:val="20"/>
        </w:rPr>
        <w:t xml:space="preserve"> raises issues of coherence, hierarchy of norms and institutional clarity and it is unclear how these new functions would interact with the existing mandates of other bodies responsible for conflicts of interest or integrity monitoring.</w:t>
      </w:r>
    </w:p>
    <w:p w14:paraId="7068E57E"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Third, the scope of the regime is exceptionally wide. It covers numerous individuals involved in procurement processes, regardless of role or actual exposure to corruption risks and introduces obligations that go far beyond what is typically regulated in a public procurement law. </w:t>
      </w:r>
    </w:p>
    <w:p w14:paraId="03390D5C" w14:textId="77777777" w:rsidR="008E40F6" w:rsidRPr="00567142" w:rsidRDefault="008E40F6" w:rsidP="008E40F6">
      <w:pPr>
        <w:spacing w:before="120" w:after="120"/>
        <w:rPr>
          <w:rFonts w:cstheme="minorHAnsi"/>
          <w:sz w:val="20"/>
          <w:szCs w:val="20"/>
        </w:rPr>
      </w:pPr>
      <w:r w:rsidRPr="00567142">
        <w:rPr>
          <w:rFonts w:cstheme="minorHAnsi"/>
          <w:sz w:val="20"/>
          <w:szCs w:val="20"/>
        </w:rPr>
        <w:t>For these reasons, Chapter XIII warrants substantial reconsideration. A clearer assessment is needed of whether such a comprehensive asset reporting regime is appropriate within the Public Procurement Law at all and how it interacts with existing legislation on integrity and the mandate of APIK.</w:t>
      </w:r>
    </w:p>
    <w:p w14:paraId="3EC23C31"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124 — Separation of functions in the procurement process</w:t>
      </w:r>
    </w:p>
    <w:p w14:paraId="3C8BFF5E" w14:textId="77777777" w:rsidR="008E40F6" w:rsidRPr="00567142" w:rsidRDefault="008E40F6" w:rsidP="008E40F6">
      <w:pPr>
        <w:spacing w:before="120" w:after="120"/>
        <w:rPr>
          <w:rFonts w:cstheme="minorHAnsi"/>
          <w:sz w:val="20"/>
          <w:szCs w:val="20"/>
        </w:rPr>
      </w:pPr>
      <w:r w:rsidRPr="00567142">
        <w:rPr>
          <w:rFonts w:cstheme="minorHAnsi"/>
          <w:sz w:val="20"/>
          <w:szCs w:val="20"/>
        </w:rPr>
        <w:t>Article 124 introduces a strict requirement that no individual may participate in more than one phase of the procurement process, combined with an automatic annulment of the procedure for any breach. While the aim of strengthening transparency and preventing conflicts of interest is legitimate, the proposed mechanism is impractical, disproportionate and not aligned with the operational realities of contracting authorities.</w:t>
      </w:r>
    </w:p>
    <w:p w14:paraId="61D08247" w14:textId="77777777" w:rsidR="008E40F6" w:rsidRPr="00567142" w:rsidRDefault="008E40F6" w:rsidP="008E40F6">
      <w:pPr>
        <w:spacing w:before="120" w:after="120"/>
        <w:rPr>
          <w:rFonts w:cstheme="minorHAnsi"/>
          <w:sz w:val="20"/>
          <w:szCs w:val="20"/>
        </w:rPr>
      </w:pPr>
      <w:r w:rsidRPr="00567142">
        <w:rPr>
          <w:rFonts w:cstheme="minorHAnsi"/>
          <w:sz w:val="20"/>
          <w:szCs w:val="20"/>
        </w:rPr>
        <w:t>The requirement that entirely different individuals must perform each stage of procurement, from planning, drafting documentation, evaluation, decision-making to contract management, is unworkable for many institutions, particularly those with limited staff or specialised profiles. Procurement processes often require continuity of expertise: the same technical officer who designs specifications often needs to clarify requirements to evaluators and evaluators frequently contribute to the preparation of award rationales. Imposing an absolute separation of functions risks creating artificial administrative structures without substantively reducing corruption risks.</w:t>
      </w:r>
    </w:p>
    <w:p w14:paraId="1722C26D"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The provision also lacks operational clarity, particularly regarding the supervision role assigned to audit offices. Audit institutions perform </w:t>
      </w:r>
      <w:r w:rsidRPr="00567142">
        <w:rPr>
          <w:rFonts w:cstheme="minorHAnsi"/>
          <w:i/>
          <w:iCs/>
          <w:sz w:val="20"/>
          <w:szCs w:val="20"/>
        </w:rPr>
        <w:t>ex post</w:t>
      </w:r>
      <w:r w:rsidRPr="00567142">
        <w:rPr>
          <w:rFonts w:cstheme="minorHAnsi"/>
          <w:sz w:val="20"/>
          <w:szCs w:val="20"/>
        </w:rPr>
        <w:t xml:space="preserve"> audits, often years after a procurement is concluded. Linking their findings to annulment of the procurement procedure is legally and practically incoherent. Annulment at such a late stage would disrupt </w:t>
      </w:r>
      <w:r w:rsidRPr="00567142">
        <w:rPr>
          <w:rFonts w:cstheme="minorHAnsi"/>
          <w:sz w:val="20"/>
          <w:szCs w:val="20"/>
        </w:rPr>
        <w:lastRenderedPageBreak/>
        <w:t>contractual relations, jeopardise performance of already executed or ongoing contracts and undermine legal certainty for contracting authorities and contractors. It is a disproportionate sanction for what is essentially an internal organisational requirement unrelated to competition or fairness.</w:t>
      </w:r>
    </w:p>
    <w:p w14:paraId="2B8980E7" w14:textId="77777777" w:rsidR="008E40F6" w:rsidRPr="00567142" w:rsidRDefault="008E40F6" w:rsidP="008E40F6">
      <w:pPr>
        <w:spacing w:before="120" w:after="120"/>
        <w:rPr>
          <w:rFonts w:cstheme="minorHAnsi"/>
          <w:sz w:val="20"/>
          <w:szCs w:val="20"/>
        </w:rPr>
      </w:pPr>
      <w:r w:rsidRPr="00567142">
        <w:rPr>
          <w:rFonts w:cstheme="minorHAnsi"/>
          <w:sz w:val="20"/>
          <w:szCs w:val="20"/>
        </w:rPr>
        <w:t>Furthermore, rigid personnel separation does not in itself prevent conflicts of interest. Effective integrity safeguards rely on clear, enforceable conflict-of-interest rules, transparency requirements and internal controls, not on a mechanistic separation of tasks that many contracting authorities cannot meaningfully implement.</w:t>
      </w:r>
    </w:p>
    <w:p w14:paraId="5522E553" w14:textId="77777777" w:rsidR="008E40F6" w:rsidRPr="00567142" w:rsidRDefault="008E40F6" w:rsidP="008E40F6">
      <w:pPr>
        <w:spacing w:before="120" w:after="120"/>
        <w:rPr>
          <w:rFonts w:cstheme="minorHAnsi"/>
          <w:sz w:val="20"/>
          <w:szCs w:val="20"/>
        </w:rPr>
      </w:pPr>
      <w:r w:rsidRPr="00567142">
        <w:rPr>
          <w:rFonts w:cstheme="minorHAnsi"/>
          <w:sz w:val="20"/>
          <w:szCs w:val="20"/>
        </w:rPr>
        <w:t>For these reasons, Article 124 should be substantially revised or removed.</w:t>
      </w:r>
    </w:p>
    <w:p w14:paraId="36C47EF7"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 xml:space="preserve">Article 228 (5) – (11) — Centralised procurement </w:t>
      </w:r>
    </w:p>
    <w:p w14:paraId="2B478D18"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Paragraphs (5) to (11) regulate centralised procurement in an exceptionally detailed and operational manner. They define internal organisational structures, describe step-by-step workflow processes, prescribe the content of the founding act of a central purchasing body, specify IT-system requirements and outline extensive reporting and contract-management responsibilities for both the central purchasing body and participating contracting authorities. While these elements are relevant for the functioning of centralised procurement, their level of prescription is not appropriate for primary legislation.</w:t>
      </w:r>
    </w:p>
    <w:p w14:paraId="72FC9082" w14:textId="77777777" w:rsidR="008E40F6" w:rsidRPr="00567142" w:rsidRDefault="008E40F6" w:rsidP="008E40F6">
      <w:pPr>
        <w:spacing w:before="120" w:after="120"/>
        <w:rPr>
          <w:rFonts w:cstheme="minorHAnsi"/>
          <w:sz w:val="20"/>
          <w:szCs w:val="20"/>
        </w:rPr>
      </w:pPr>
      <w:r w:rsidRPr="00567142">
        <w:rPr>
          <w:rFonts w:cstheme="minorHAnsi"/>
          <w:sz w:val="20"/>
          <w:szCs w:val="20"/>
        </w:rPr>
        <w:t>Primary legislation should set out only the essential elements governing central purchasing bodies: their legal status, core functions, types of instruments they may use (framework agreements, dynamic purchasing systems) and the basic rights and obligations of participating authorities. Detailed operational arrangements are normally regulated by secondary legislation or by internal rules adopted by the central purchasing bodies. This ensures flexibility, allows administrative practice to evolve and prevents the public procurement law from becoming overly rigid or quickly outdated.</w:t>
      </w:r>
    </w:p>
    <w:p w14:paraId="5E40AD4E" w14:textId="77777777" w:rsidR="008E40F6" w:rsidRPr="00567142" w:rsidRDefault="008E40F6" w:rsidP="008E40F6">
      <w:pPr>
        <w:spacing w:before="120" w:after="120"/>
        <w:rPr>
          <w:rFonts w:cstheme="minorHAnsi"/>
          <w:sz w:val="20"/>
          <w:szCs w:val="20"/>
        </w:rPr>
      </w:pPr>
      <w:r w:rsidRPr="00567142">
        <w:rPr>
          <w:rFonts w:cstheme="minorHAnsi"/>
          <w:sz w:val="20"/>
          <w:szCs w:val="20"/>
        </w:rPr>
        <w:t>By embedding operational detail directly in the law, the draft Law risks creating several problems. First, any necessary adjustment to internal processes, or administrative workflows would require formal legislative amendment, slowing down adaptation. Second, the detailed provisions may not be compatible with different administrative structures across levels of government. Third, the complexity of the provisions makes the law unnecessarily lengthy and harder to implement, without improving compliance or transparency.</w:t>
      </w:r>
    </w:p>
    <w:p w14:paraId="724580B2"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For these reasons, paragraphs (5)–(11) should be removed from the primary law and relocated to secondary legislation or detailed internal regulations of the central purchasing body. The </w:t>
      </w:r>
      <w:r>
        <w:rPr>
          <w:rFonts w:cstheme="minorHAnsi"/>
          <w:sz w:val="20"/>
          <w:szCs w:val="20"/>
        </w:rPr>
        <w:t>Law</w:t>
      </w:r>
      <w:r w:rsidRPr="00567142">
        <w:rPr>
          <w:rFonts w:cstheme="minorHAnsi"/>
          <w:sz w:val="20"/>
          <w:szCs w:val="20"/>
        </w:rPr>
        <w:t xml:space="preserve"> should contain only the core legal framework for centralised procurement, while allowing flexibility for operational design and development.</w:t>
      </w:r>
    </w:p>
    <w:p w14:paraId="6F671410"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230 (3) – (5) — Joint procurement</w:t>
      </w:r>
    </w:p>
    <w:p w14:paraId="60799D20"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Paragraphs (3) to (5) regulate joint procurement in very detailed terms, prescribing the mandatory content of the cooperation agreement, the precise obligations of the lead contracting authority, the workflow for consolidating needs and the full set of procedural, publication and contract-management duties for each participating contracting authority. This level of operational prescription is not appropriate for primary legislation.</w:t>
      </w:r>
    </w:p>
    <w:p w14:paraId="348DC372" w14:textId="77777777" w:rsidR="008E40F6" w:rsidRPr="00567142" w:rsidRDefault="008E40F6" w:rsidP="008E40F6">
      <w:pPr>
        <w:spacing w:before="120" w:after="120"/>
        <w:rPr>
          <w:rFonts w:cstheme="minorHAnsi"/>
          <w:sz w:val="20"/>
          <w:szCs w:val="20"/>
        </w:rPr>
      </w:pPr>
      <w:r w:rsidRPr="00567142">
        <w:rPr>
          <w:rFonts w:cstheme="minorHAnsi"/>
          <w:sz w:val="20"/>
          <w:szCs w:val="20"/>
        </w:rPr>
        <w:t>Primary legislation should establish only the essential legal framework: the permissibility of joint procurement, the general division of responsibilities among participating authorities and the legal effects of conducting a procurement jointly. The draft Law, however, embeds rules that go far beyond what is necessary at the legislative level and appear more suitable for secondary legislation or model documents. By codifying detailed procedures in the law, the draft risks creating unnecessary rigidity, preventing contracting authorities from tailoring joint-procurement arrangements to the specific needs of their administrative structures, market conditions, or technical requirements. It also makes future improvements or adjustments more difficult, as even minor procedural refinements would require legislative amendment.</w:t>
      </w:r>
    </w:p>
    <w:p w14:paraId="3D8FB8B1" w14:textId="77777777" w:rsidR="008E40F6" w:rsidRPr="00567142" w:rsidRDefault="008E40F6" w:rsidP="008E40F6">
      <w:pPr>
        <w:spacing w:before="120" w:after="120"/>
        <w:rPr>
          <w:rFonts w:cstheme="minorHAnsi"/>
          <w:sz w:val="20"/>
          <w:szCs w:val="20"/>
        </w:rPr>
      </w:pPr>
      <w:r w:rsidRPr="00567142">
        <w:rPr>
          <w:rFonts w:cstheme="minorHAnsi"/>
          <w:sz w:val="20"/>
          <w:szCs w:val="20"/>
        </w:rPr>
        <w:t>For these reasons, paragraphs (3)–(5) should be relocated to secondary legislation or to model agreements issued by the PPA, while the primary law should retain only the core legal elements necessary for joint procurement to function.</w:t>
      </w:r>
    </w:p>
    <w:p w14:paraId="4DAD34B1"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235 — Procurement Committees</w:t>
      </w:r>
    </w:p>
    <w:p w14:paraId="08CB54B4"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Article 235 regulates the establishment, composition, functioning and internal procedures of procurement </w:t>
      </w:r>
      <w:r w:rsidRPr="00567142">
        <w:rPr>
          <w:rFonts w:cstheme="minorHAnsi"/>
          <w:sz w:val="20"/>
          <w:szCs w:val="20"/>
        </w:rPr>
        <w:lastRenderedPageBreak/>
        <w:t>committees in an extremely detailed and prescriptive manner. The level of operational specificity, from the appointment of secretaries and substitute members to the content of minutes, voting rules, internal documentation, expert involvement and remuneration, resembles an internal administrative by-law rather than primary legislation. As noted in relation to other provisions (e.g. centralised procurement, joint procurement), such operational detail should be regulated through secondary legislation or internal guidance issued by the PPA, not embedded in the Public Procurement Law. Primary legislation should establish only the essential principles: that a committee must be appointed, that members must be competent and impartial and that conflicts of interest must be transparently managed. Embedding procedural micromanagement in the law itself introduces unnecessary rigidity, limits the ability of contracting authorities to adapt processes to their organisational structures and makes any future improvements difficult because they would require legislative amendment.</w:t>
      </w:r>
    </w:p>
    <w:p w14:paraId="7B7D2E2A" w14:textId="77777777" w:rsidR="008E40F6" w:rsidRPr="00567142" w:rsidRDefault="008E40F6" w:rsidP="008E40F6">
      <w:pPr>
        <w:spacing w:before="120" w:after="120"/>
        <w:rPr>
          <w:rFonts w:cstheme="minorHAnsi"/>
          <w:sz w:val="20"/>
          <w:szCs w:val="20"/>
        </w:rPr>
      </w:pPr>
      <w:r w:rsidRPr="00567142">
        <w:rPr>
          <w:rFonts w:cstheme="minorHAnsi"/>
          <w:sz w:val="20"/>
          <w:szCs w:val="20"/>
        </w:rPr>
        <w:t>Furthermore, paragraph (23) which states that any breach of the obligations set out in this Article renders the procurement procedure “void” is legally unclear, disproportionate and incompatible with the remedies framework of the draft Law. The provision does not specify who has authority to declare a procedure void, under what procedure, or at what stage. It is also unclear what “void” means in terms of legal consequences, including for contracts already awarded or executed. EU public procurement law reserves the remedy of ineffectiveness for a narrow set of most serious violations that distort competition, not for organisational or administrative irregularities related to committee composition or the performance of internal duties. Declaring a procedure or contract void for such formal breaches would undermine legal certainty, expose contracting authorities to significant risk and be practically unworkable, especially since many of the obligations (e.g. the secretary’s role, the appointment of substitutes, the scheduling and documentation of meetings) have no bearing on competition or the fairness of the award.</w:t>
      </w:r>
    </w:p>
    <w:p w14:paraId="0C610AFB" w14:textId="77777777" w:rsidR="008E40F6" w:rsidRPr="00567142" w:rsidRDefault="008E40F6" w:rsidP="008E40F6">
      <w:pPr>
        <w:spacing w:before="120" w:after="120"/>
        <w:rPr>
          <w:rFonts w:cstheme="minorHAnsi"/>
          <w:sz w:val="20"/>
          <w:szCs w:val="20"/>
        </w:rPr>
      </w:pPr>
      <w:r w:rsidRPr="00567142">
        <w:rPr>
          <w:rFonts w:cstheme="minorHAnsi"/>
          <w:sz w:val="20"/>
          <w:szCs w:val="20"/>
        </w:rPr>
        <w:t>For these reasons, most operational provisions, paragraphs (3)–(5), (7) and (9)–(22), should be relocated to secondary legislation, while paragraph (23) should be removed or comprehensively redrafted.</w:t>
      </w:r>
    </w:p>
    <w:p w14:paraId="01EEED45"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236 — Prior Market Investigation</w:t>
      </w:r>
    </w:p>
    <w:p w14:paraId="46111861" w14:textId="77777777" w:rsidR="008E40F6" w:rsidRPr="00567142" w:rsidRDefault="008E40F6" w:rsidP="008E40F6">
      <w:pPr>
        <w:spacing w:before="120" w:after="120"/>
        <w:rPr>
          <w:rFonts w:cstheme="minorHAnsi"/>
          <w:sz w:val="20"/>
          <w:szCs w:val="20"/>
        </w:rPr>
      </w:pPr>
      <w:r w:rsidRPr="00567142">
        <w:rPr>
          <w:rFonts w:cstheme="minorHAnsi"/>
          <w:sz w:val="20"/>
          <w:szCs w:val="20"/>
        </w:rPr>
        <w:t>Article 236 introduces a mandatory prior market investigation for all procurement procedures, which is a legitimate tool for improving planning and ensuring well-informed tender specifications. However, paragraph (4) which states that prior market investigation “cannot be limited to obtaining or collecting an indicative offer” creates uncertainty in its current form. While the intention to avoid superficial or biased consultations is appropriate, the provision does not clarify what additional steps are required beyond this minimum. As drafted, contracting authorities are left without clear criteria for determining:</w:t>
      </w:r>
    </w:p>
    <w:p w14:paraId="18E11071" w14:textId="77777777" w:rsidR="008E40F6" w:rsidRPr="00567142" w:rsidRDefault="008E40F6" w:rsidP="008E40F6">
      <w:pPr>
        <w:widowControl/>
        <w:numPr>
          <w:ilvl w:val="0"/>
          <w:numId w:val="2"/>
        </w:numPr>
        <w:spacing w:before="120" w:after="120"/>
        <w:rPr>
          <w:rFonts w:cstheme="minorHAnsi"/>
          <w:sz w:val="20"/>
          <w:szCs w:val="20"/>
        </w:rPr>
      </w:pPr>
      <w:r w:rsidRPr="00567142">
        <w:rPr>
          <w:rFonts w:cstheme="minorHAnsi"/>
          <w:sz w:val="20"/>
          <w:szCs w:val="20"/>
        </w:rPr>
        <w:t>what constitutes a sufficient or compliant market investigation,</w:t>
      </w:r>
    </w:p>
    <w:p w14:paraId="0D40894F" w14:textId="77777777" w:rsidR="008E40F6" w:rsidRPr="00567142" w:rsidRDefault="008E40F6" w:rsidP="008E40F6">
      <w:pPr>
        <w:widowControl/>
        <w:numPr>
          <w:ilvl w:val="0"/>
          <w:numId w:val="2"/>
        </w:numPr>
        <w:spacing w:before="120" w:after="120"/>
        <w:rPr>
          <w:rFonts w:cstheme="minorHAnsi"/>
          <w:sz w:val="20"/>
          <w:szCs w:val="20"/>
        </w:rPr>
      </w:pPr>
      <w:r w:rsidRPr="00567142">
        <w:rPr>
          <w:rFonts w:cstheme="minorHAnsi"/>
          <w:sz w:val="20"/>
          <w:szCs w:val="20"/>
        </w:rPr>
        <w:t>the acceptable range of methods (e.g. desktop research, requests for information, stakeholder meetings, preliminary technical dialogues),</w:t>
      </w:r>
    </w:p>
    <w:p w14:paraId="7FE04F65" w14:textId="77777777" w:rsidR="008E40F6" w:rsidRPr="00567142" w:rsidRDefault="008E40F6" w:rsidP="008E40F6">
      <w:pPr>
        <w:widowControl/>
        <w:numPr>
          <w:ilvl w:val="0"/>
          <w:numId w:val="2"/>
        </w:numPr>
        <w:spacing w:before="120" w:after="120"/>
        <w:rPr>
          <w:rFonts w:cstheme="minorHAnsi"/>
          <w:sz w:val="20"/>
          <w:szCs w:val="20"/>
        </w:rPr>
      </w:pPr>
      <w:r w:rsidRPr="00567142">
        <w:rPr>
          <w:rFonts w:cstheme="minorHAnsi"/>
          <w:sz w:val="20"/>
          <w:szCs w:val="20"/>
        </w:rPr>
        <w:t>how the scope of investigation should vary depending on the type, complexity or value of the procurement, and</w:t>
      </w:r>
    </w:p>
    <w:p w14:paraId="5B52E2A1" w14:textId="77777777" w:rsidR="008E40F6" w:rsidRPr="00567142" w:rsidRDefault="008E40F6" w:rsidP="008E40F6">
      <w:pPr>
        <w:widowControl/>
        <w:numPr>
          <w:ilvl w:val="0"/>
          <w:numId w:val="2"/>
        </w:numPr>
        <w:spacing w:before="120" w:after="120"/>
        <w:rPr>
          <w:rFonts w:cstheme="minorHAnsi"/>
          <w:sz w:val="20"/>
          <w:szCs w:val="20"/>
        </w:rPr>
      </w:pPr>
      <w:r w:rsidRPr="00567142">
        <w:rPr>
          <w:rFonts w:cstheme="minorHAnsi"/>
          <w:sz w:val="20"/>
          <w:szCs w:val="20"/>
        </w:rPr>
        <w:t>the minimum evidence required to demonstrate compliance.</w:t>
      </w:r>
    </w:p>
    <w:p w14:paraId="15CD2DF5" w14:textId="77777777" w:rsidR="008E40F6" w:rsidRPr="00567142" w:rsidRDefault="008E40F6" w:rsidP="008E40F6">
      <w:pPr>
        <w:spacing w:before="120" w:after="120"/>
        <w:rPr>
          <w:rFonts w:cstheme="minorHAnsi"/>
          <w:sz w:val="20"/>
          <w:szCs w:val="20"/>
        </w:rPr>
      </w:pPr>
      <w:r w:rsidRPr="00567142">
        <w:rPr>
          <w:rFonts w:cstheme="minorHAnsi"/>
          <w:sz w:val="20"/>
          <w:szCs w:val="20"/>
        </w:rPr>
        <w:t>This ambiguity risks inconsistent interpretation by oversight bodies and could expose contracting authorities to sanctions for failing to meet an undefined standard. Moreover, the requirement may impose disproportionate burdens on smaller contracting authorities with limited administrative or technical capacity, particularly since the obligation applies to all procurement procedures, regardless of value or complexity.</w:t>
      </w:r>
    </w:p>
    <w:p w14:paraId="7B68BFF4" w14:textId="77777777" w:rsidR="008E40F6" w:rsidRPr="00567142" w:rsidRDefault="008E40F6" w:rsidP="008E40F6">
      <w:pPr>
        <w:spacing w:before="120" w:after="120"/>
        <w:rPr>
          <w:rFonts w:cstheme="minorHAnsi"/>
          <w:sz w:val="20"/>
          <w:szCs w:val="20"/>
        </w:rPr>
      </w:pPr>
      <w:r w:rsidRPr="00567142">
        <w:rPr>
          <w:rFonts w:cstheme="minorHAnsi"/>
          <w:sz w:val="20"/>
          <w:szCs w:val="20"/>
        </w:rPr>
        <w:t>The law should either clarify the minimum required elements of a compliant market investigation or delegate the details to secondary legislation or guidance from the PPA. This would allow the objective of meaningful market consultation to be achieved while avoiding unclear or impractical obligations.</w:t>
      </w:r>
    </w:p>
    <w:p w14:paraId="7C98FD6E"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237 — Prior Consultation</w:t>
      </w:r>
    </w:p>
    <w:p w14:paraId="143F66AA"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Article 237 introduces a mandatory prior consultation phase before every open and restricted procedure, except accelerated ones. The consultation with the market is a valuable tool that can improve procurement planning, ensure realistic technical specifications and enhance competition, however, making it obligatory for all procedures </w:t>
      </w:r>
      <w:r w:rsidRPr="00567142">
        <w:rPr>
          <w:rFonts w:cstheme="minorHAnsi"/>
          <w:sz w:val="20"/>
          <w:szCs w:val="20"/>
        </w:rPr>
        <w:lastRenderedPageBreak/>
        <w:t>irrespective of value, complexity or market conditions is disproportionate and impractical. Such requirement would impose significant administrative burden on contracting authorities, particularly those with limited capacity, delay procurement timelines even where consultation brings little or no added value (e.g. standardised, low-complexity goods) and risk turning a potentially useful tool into a routine formality. Prior consultation is most effective when used selectively, for complex procurements, high-value contracts or cases where the contracting authority lacks adequate market knowledge. To ensure proportionality and practicality, Article 237 should be revised so that consultation is required only above defined value thresholds or where justified by the nature or complexity of the procurement, while remaining optional in other cases.</w:t>
      </w:r>
    </w:p>
    <w:p w14:paraId="5F524B6B" w14:textId="77777777" w:rsidR="008E40F6" w:rsidRPr="00567142" w:rsidRDefault="008E40F6" w:rsidP="008E40F6">
      <w:pPr>
        <w:spacing w:before="120" w:after="120"/>
        <w:rPr>
          <w:rFonts w:cstheme="minorHAnsi"/>
          <w:sz w:val="20"/>
          <w:szCs w:val="20"/>
        </w:rPr>
      </w:pPr>
      <w:r w:rsidRPr="00567142">
        <w:rPr>
          <w:rFonts w:cstheme="minorHAnsi"/>
          <w:sz w:val="20"/>
          <w:szCs w:val="20"/>
        </w:rPr>
        <w:t>Further clarity is also needed in relation to the internal logic of the Article. Paragraph (5) requires the contracting authority to consider comments and suggestions and provide a report following the consultation, whereas paragraph (3) obliges it to respond immediately to comments and suggestions during the consultation period. These obligations are contradictory and may create confusion as to when and how comments must be addressed and documented.</w:t>
      </w:r>
    </w:p>
    <w:p w14:paraId="73242288" w14:textId="77777777" w:rsidR="008E40F6" w:rsidRPr="00567142" w:rsidRDefault="008E40F6" w:rsidP="008E40F6">
      <w:pPr>
        <w:spacing w:before="120" w:after="120"/>
        <w:rPr>
          <w:rFonts w:cstheme="minorHAnsi"/>
          <w:sz w:val="20"/>
          <w:szCs w:val="20"/>
        </w:rPr>
      </w:pPr>
      <w:r w:rsidRPr="00567142">
        <w:rPr>
          <w:rFonts w:cstheme="minorHAnsi"/>
          <w:sz w:val="20"/>
          <w:szCs w:val="20"/>
        </w:rPr>
        <w:t>Finally, paragraph (6) limits post-consultation modifications of the draft procurement documents to those that are “not significant.” This restriction undermines the purpose of prior consultation. The entire rationale of consultation is to enable the authority to improve its documentation based on market input, including making substantial adjustments where needed to technical specifications, estimated value, award criteria or contractual terms. Because consultation occurs before the launch of the formal procedure, no bidder rights are affected and no competitive imbalance can arise from substantial revisions. Prohibiting significant modifications at this stage may force the contracting authority to proceed with documents known to be inadequate, or to abandon and restart the process entirely. Paragraph (6) should be amended to allow all necessary modifications, whether significant or not.</w:t>
      </w:r>
    </w:p>
    <w:p w14:paraId="4C4DB35E"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337 — General provisions on contract and framework-agreement modifications</w:t>
      </w:r>
    </w:p>
    <w:p w14:paraId="5BE6EFA5"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 (5) introduces an obligation for contracting authorities to obtain prior written approval from the competent public sector audit office for every modification of a contract or a framework agreement, regardless of its nature, scale or legal basis, with the consequence that any modification adopted without such approval is deemed void. This requirement is highly problematic from the multiple perspectives.</w:t>
      </w:r>
    </w:p>
    <w:p w14:paraId="45846642" w14:textId="77777777" w:rsidR="008E40F6" w:rsidRPr="00567142" w:rsidRDefault="008E40F6" w:rsidP="008E40F6">
      <w:pPr>
        <w:spacing w:before="120" w:after="120"/>
        <w:rPr>
          <w:rFonts w:cstheme="minorHAnsi"/>
          <w:sz w:val="20"/>
          <w:szCs w:val="20"/>
        </w:rPr>
      </w:pPr>
      <w:r w:rsidRPr="00567142">
        <w:rPr>
          <w:rFonts w:cstheme="minorHAnsi"/>
          <w:sz w:val="20"/>
          <w:szCs w:val="20"/>
        </w:rPr>
        <w:t>First, the provision fundamentally misunderstands the mandate of public sector audit institutions. Under applicable laws and standards, audit offices perform ex post audits of legality, economy, efficiency and effectiveness. They do not participate in administrative decision-making and cannot lawfully act as an approval authority for individual procurement operations. Requiring auditors to issue prior approvals creates an inherent conflict of interest. They would later be asked, in their oversight role, to assess the legality and appropriateness of decisions they themselves authorised. This violates the principle of auditor independence and compromises the credibility of the audit function.</w:t>
      </w:r>
    </w:p>
    <w:p w14:paraId="0353B93D" w14:textId="77777777" w:rsidR="008E40F6" w:rsidRPr="00567142" w:rsidRDefault="008E40F6" w:rsidP="008E40F6">
      <w:pPr>
        <w:spacing w:before="120" w:after="120"/>
        <w:rPr>
          <w:rFonts w:cstheme="minorHAnsi"/>
          <w:sz w:val="20"/>
          <w:szCs w:val="20"/>
        </w:rPr>
      </w:pPr>
      <w:r w:rsidRPr="00567142">
        <w:rPr>
          <w:rFonts w:cstheme="minorHAnsi"/>
          <w:sz w:val="20"/>
          <w:szCs w:val="20"/>
        </w:rPr>
        <w:t>Second, transferring approval responsibility to audit institutions undermines accountability within contracting authorities. The responsibility for lawful procurement and contract management lies with the contracting authority and its authorised officials, supported by internal control systems. Making an external body the mandatory approver of every modification shifts this responsibility away from the decision-makers and weakens internal controls. Officials may defer to audit approval rather than exercising sound professional judgement, which is contrary to good administrative practice and principles of sound financial management.</w:t>
      </w:r>
    </w:p>
    <w:p w14:paraId="3DF602AC" w14:textId="77777777" w:rsidR="008E40F6" w:rsidRPr="00567142" w:rsidRDefault="008E40F6" w:rsidP="008E40F6">
      <w:pPr>
        <w:spacing w:before="120" w:after="120"/>
        <w:rPr>
          <w:rFonts w:cstheme="minorHAnsi"/>
          <w:sz w:val="20"/>
          <w:szCs w:val="20"/>
        </w:rPr>
      </w:pPr>
      <w:r w:rsidRPr="00567142">
        <w:rPr>
          <w:rFonts w:cstheme="minorHAnsi"/>
          <w:sz w:val="20"/>
          <w:szCs w:val="20"/>
        </w:rPr>
        <w:t>Third, from an operational perspective, the requirement is unrealistically burdensome. Audit institutions lack both mandate and capacity to review thousands of routine contract modifications each year, many of which concern minor adjustments fully compliant with Directive 2014/24/EU. The proposed mechanism would create delays, bottlenecks and uncertainty in contract execution, slowing down public investment and service delivery without adding meaningful safeguards.</w:t>
      </w:r>
    </w:p>
    <w:p w14:paraId="21D14C17" w14:textId="77777777" w:rsidR="008E40F6" w:rsidRPr="00567142" w:rsidRDefault="008E40F6" w:rsidP="008E40F6">
      <w:pPr>
        <w:spacing w:before="120" w:after="120"/>
        <w:rPr>
          <w:rFonts w:cstheme="minorHAnsi"/>
          <w:sz w:val="20"/>
          <w:szCs w:val="20"/>
        </w:rPr>
      </w:pPr>
      <w:r w:rsidRPr="00567142">
        <w:rPr>
          <w:rFonts w:cstheme="minorHAnsi"/>
          <w:sz w:val="20"/>
          <w:szCs w:val="20"/>
        </w:rPr>
        <w:t>Fourth, the EU procurement directives already define clear, objective conditions under which modifications are permitted and when a new procurement procedure is required. These rules ensure transparency and equal treatment without resorting to external prior approval mechanisms. The Directive does not envisage, nor is it compatible with, a system in which audit institutions must validate each modification.</w:t>
      </w:r>
    </w:p>
    <w:p w14:paraId="7560E365"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For these reasons, paragraph (5) should be deleted. Oversight of contract modifications should remain within the established ex post control framework, through audits, internal controls and the remedies system, while contracting </w:t>
      </w:r>
      <w:r w:rsidRPr="00567142">
        <w:rPr>
          <w:rFonts w:cstheme="minorHAnsi"/>
          <w:sz w:val="20"/>
          <w:szCs w:val="20"/>
        </w:rPr>
        <w:lastRenderedPageBreak/>
        <w:t>authorities retain full responsibility for making lawful modifications in accordance with Articles 342–345.</w:t>
      </w:r>
    </w:p>
    <w:p w14:paraId="2100A01D"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340 — Monitoring of contract modifications by external actors</w:t>
      </w:r>
    </w:p>
    <w:p w14:paraId="300B4D48" w14:textId="77777777" w:rsidR="008E40F6" w:rsidRPr="00567142" w:rsidRDefault="008E40F6" w:rsidP="008E40F6">
      <w:pPr>
        <w:spacing w:before="120" w:after="120"/>
        <w:rPr>
          <w:rFonts w:cstheme="minorHAnsi"/>
          <w:sz w:val="20"/>
          <w:szCs w:val="20"/>
        </w:rPr>
      </w:pPr>
      <w:r w:rsidRPr="00567142">
        <w:rPr>
          <w:rFonts w:cstheme="minorHAnsi"/>
          <w:sz w:val="20"/>
          <w:szCs w:val="20"/>
        </w:rPr>
        <w:t>Article 340 introduces an extensive mechanism whereby a wide range of institutions, including the PPA, the Competition Council, audit offices, inspection bodies, prosecutors, and numerous administrative authorities, are required to monitor whether contract modifications comply with the Public Procurement Law. If they consider a modification unlawful, they are obliged to initiate procedures for annulment or termination of the modification and for establishing liability. Any citizen or taxpayer may trigger this mechanism by submitting an initiative.</w:t>
      </w:r>
    </w:p>
    <w:p w14:paraId="3CA08757" w14:textId="77777777" w:rsidR="008E40F6" w:rsidRPr="00567142" w:rsidRDefault="008E40F6" w:rsidP="008E40F6">
      <w:pPr>
        <w:spacing w:before="120" w:after="120"/>
        <w:rPr>
          <w:rFonts w:cstheme="minorHAnsi"/>
          <w:sz w:val="20"/>
          <w:szCs w:val="20"/>
        </w:rPr>
      </w:pPr>
      <w:r w:rsidRPr="00567142">
        <w:rPr>
          <w:rFonts w:cstheme="minorHAnsi"/>
          <w:sz w:val="20"/>
          <w:szCs w:val="20"/>
        </w:rPr>
        <w:t>These provisions raise significant legal, institutional and systemic concerns and are fundamentally incompatible with the established remedies system under the draft Law.</w:t>
      </w:r>
    </w:p>
    <w:p w14:paraId="7574F9AE" w14:textId="77777777" w:rsidR="008E40F6" w:rsidRPr="00567142" w:rsidRDefault="008E40F6" w:rsidP="008E40F6">
      <w:pPr>
        <w:spacing w:before="120" w:after="120"/>
        <w:rPr>
          <w:rFonts w:cstheme="minorHAnsi"/>
          <w:sz w:val="20"/>
          <w:szCs w:val="20"/>
        </w:rPr>
      </w:pPr>
      <w:r w:rsidRPr="00567142">
        <w:rPr>
          <w:rFonts w:cstheme="minorHAnsi"/>
          <w:sz w:val="20"/>
          <w:szCs w:val="20"/>
        </w:rPr>
        <w:t>First, Article 340 is internally inconsistent with Article 337(5). Article 337(5) requires every modification to receive prior written approval from the competent public sector audit office and declares any modification without such approval void. If all modifications require prior audit approval, the rationale for multiple institutions subsequently monitoring the legality of the modification is unclear. These provisions reflect contradictory concepts: Article 337(5) assumes that no unlawful modification can occur, whereas Article 340 presupposes that unlawful modifications routinely occur and must be pursued by numerous bodies. These regimes cannot logically operate together.</w:t>
      </w:r>
    </w:p>
    <w:p w14:paraId="239B89B0" w14:textId="77777777" w:rsidR="008E40F6" w:rsidRPr="00567142" w:rsidRDefault="008E40F6" w:rsidP="008E40F6">
      <w:pPr>
        <w:spacing w:before="120" w:after="120"/>
        <w:rPr>
          <w:rFonts w:cstheme="minorHAnsi"/>
          <w:sz w:val="20"/>
          <w:szCs w:val="20"/>
        </w:rPr>
      </w:pPr>
      <w:r w:rsidRPr="00567142">
        <w:rPr>
          <w:rFonts w:cstheme="minorHAnsi"/>
          <w:sz w:val="20"/>
          <w:szCs w:val="20"/>
        </w:rPr>
        <w:t>Second, Article 340 assigns overlapping and conflicting mandates to many institutions with no clear division of competences. It obliges each of them to initiate annulment procedures, creating a high risk of parallel processes, inconsistent outcomes and legal uncertainty. This is incompatible with good governance and effective oversight practices, which require clearly defined institutional responsibilities.</w:t>
      </w:r>
    </w:p>
    <w:p w14:paraId="20FDF9FC" w14:textId="77777777" w:rsidR="008E40F6" w:rsidRPr="00567142" w:rsidRDefault="008E40F6" w:rsidP="008E40F6">
      <w:pPr>
        <w:spacing w:before="120" w:after="120"/>
        <w:rPr>
          <w:rFonts w:cstheme="minorHAnsi"/>
          <w:sz w:val="20"/>
          <w:szCs w:val="20"/>
        </w:rPr>
      </w:pPr>
      <w:r w:rsidRPr="00567142">
        <w:rPr>
          <w:rFonts w:cstheme="minorHAnsi"/>
          <w:sz w:val="20"/>
          <w:szCs w:val="20"/>
        </w:rPr>
        <w:t>Third, the provision directly conflicts with Article 515 of the draft Law, which transposes the EU Remedies Directive and grants the URŽ exclusive competence to declare procurement contracts ineffective. Determining ineffectiveness, including in cases where a contract modification constitutes an illegal direct award, must remain within the Review Body’s mandate to ensure legal certainty, uniformity and compliance with EU law. Article 340 bypasses this system entirely, empowering institutions that have no role in the EU-aligned remedies framework.</w:t>
      </w:r>
    </w:p>
    <w:p w14:paraId="4A6BF23E" w14:textId="77777777" w:rsidR="008E40F6" w:rsidRPr="00567142" w:rsidRDefault="008E40F6" w:rsidP="008E40F6">
      <w:pPr>
        <w:spacing w:before="120" w:after="120"/>
        <w:rPr>
          <w:rFonts w:cstheme="minorHAnsi"/>
          <w:sz w:val="20"/>
          <w:szCs w:val="20"/>
        </w:rPr>
      </w:pPr>
      <w:r w:rsidRPr="00567142">
        <w:rPr>
          <w:rFonts w:cstheme="minorHAnsi"/>
          <w:sz w:val="20"/>
          <w:szCs w:val="20"/>
        </w:rPr>
        <w:t>Fourth, Article 340 does not specify which body is competent to declare the modification annulled or terminated, nor which procedure applies. Without procedural rules, deadlines, standing, rights of defence, decision-making authority, the mechanism is legally unenforceable and risks arbitrary implementation.</w:t>
      </w:r>
    </w:p>
    <w:p w14:paraId="2A39091E" w14:textId="77777777" w:rsidR="008E40F6" w:rsidRPr="00567142" w:rsidRDefault="008E40F6" w:rsidP="008E40F6">
      <w:pPr>
        <w:spacing w:before="120" w:after="120"/>
        <w:rPr>
          <w:rFonts w:cstheme="minorHAnsi"/>
          <w:sz w:val="20"/>
          <w:szCs w:val="20"/>
        </w:rPr>
      </w:pPr>
      <w:r w:rsidRPr="00567142">
        <w:rPr>
          <w:rFonts w:cstheme="minorHAnsi"/>
          <w:sz w:val="20"/>
          <w:szCs w:val="20"/>
        </w:rPr>
        <w:t>Finally, paragraph (5), which states that the modification “is void” if the contracting authority breaches this Article, lacks any procedural mechanism for declaring such voidness. In public procurement law, voidness must be formally declared by a legally competent body under defined procedures. Without specifying how and by whom voidness is determined, the provision cannot be applied in practice and creates severe uncertainty for ongoing contracts.</w:t>
      </w:r>
    </w:p>
    <w:p w14:paraId="691FA082"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For these reasons, paragraphs (2), (3) and (5) of Article 340 should be deleted or substantially redrafted. Any mechanism for challenging unlawful contract modifications must remain within the exclusive competence of the Review Body as established under Article 515 and the Remedies Directive framework. </w:t>
      </w:r>
    </w:p>
    <w:p w14:paraId="7D5D888B"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Articles 408–456 – Competitive request procedure</w:t>
      </w:r>
    </w:p>
    <w:p w14:paraId="084C3D3A"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The draft Law presents the </w:t>
      </w:r>
      <w:r w:rsidRPr="00567142">
        <w:rPr>
          <w:rFonts w:cstheme="minorHAnsi"/>
          <w:i/>
          <w:iCs/>
          <w:sz w:val="20"/>
          <w:szCs w:val="20"/>
        </w:rPr>
        <w:t>competitive request</w:t>
      </w:r>
      <w:r w:rsidRPr="00567142">
        <w:rPr>
          <w:rFonts w:cstheme="minorHAnsi"/>
          <w:sz w:val="20"/>
          <w:szCs w:val="20"/>
        </w:rPr>
        <w:t xml:space="preserve"> as a distinct procedure for lower-value contracts. However, in substance it almost entirely mirrors the open procedure. Most provisions consist of cross-references to the rules governing higher-value procurement, so that almost the full set of obligations applicable to open procedures also applies to competitive request: comprehensive tender documentation containing all elements required for large contracts, publication and communication rules identical to the open procedure, mandatory public opening of tenders, detailed rules on clarifications, a standstill period, full application of provisions on technical specifications, selection and award criteria, contract monitoring and contract modifications and extensive reporting and archiving duties. As a result, this design does not offer any meaningful simplification.</w:t>
      </w:r>
    </w:p>
    <w:p w14:paraId="6FD58FF1" w14:textId="77777777" w:rsidR="008E40F6" w:rsidRPr="00567142" w:rsidRDefault="008E40F6" w:rsidP="008E40F6">
      <w:pPr>
        <w:spacing w:before="120" w:after="120"/>
        <w:rPr>
          <w:rFonts w:cstheme="minorHAnsi"/>
          <w:sz w:val="20"/>
          <w:szCs w:val="20"/>
        </w:rPr>
      </w:pPr>
      <w:r w:rsidRPr="00567142">
        <w:rPr>
          <w:rFonts w:cstheme="minorHAnsi"/>
          <w:sz w:val="20"/>
          <w:szCs w:val="20"/>
        </w:rPr>
        <w:t>Because the competitive request is intended for lower-value contracts, including very small ones (for example, works contracts around EUR 15 000), such a dense and formalised framework is disproportionate and unlikely to be feasible for many contracting authorities. The administrative cost in terms of time, staff and technical work may easily exceed the value of the contract itself. This complexity is also likely to discourage participation by SMEs and micro-</w:t>
      </w:r>
      <w:r w:rsidRPr="00567142">
        <w:rPr>
          <w:rFonts w:cstheme="minorHAnsi"/>
          <w:sz w:val="20"/>
          <w:szCs w:val="20"/>
        </w:rPr>
        <w:lastRenderedPageBreak/>
        <w:t>enterprises, which are the main target group for low-value procurement. Instead of facilitating access to public contracts, the procedure risks reducing the number of bidders and weakening competition. Faced with these burdens, contracting authorities may be tempted to avoid the competitive request altogether, for instance by splitting procurements, which would undermine compliance and trust in the system.</w:t>
      </w:r>
    </w:p>
    <w:p w14:paraId="6F000164"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As currently drafted, it is not clear why competitive request is regulated as a separate procedure if it reproduces the open procedure almost entirely. If the policy objective is to provide a simpler, more flexible tool for low-value procurement, the procedure should be substantially redesigned. Documentation and procedural requirements should be clearly lighter and more proportionate than those for open procedures, cross-references should be reduced and the overall structure should aim at a genuinely streamlined, attractive process for both contracting authorities and economic operators. </w:t>
      </w:r>
    </w:p>
    <w:p w14:paraId="6E424872"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517 – Time limit for URŽ decisions and publication</w:t>
      </w:r>
    </w:p>
    <w:p w14:paraId="7FE225A3"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 (1) requires URŽ to adopt its decision, including preparation of the written reasoning, within 30 days from receipt of a complete appeal and states that this deadline cannot be extended. However, the provision does not specify by when the decision must be published on the e-Procurement system. Given that publication is the only valid method of delivery under paragraph (4), the absence of a clear publication deadline (for example, the same day or within 24 hours of signature) creates legal uncertainty for parties as to when the decision is deemed served and when subsequent deadlines (for judicial review, contract signing, etc.) start to run. A concrete deadline for publication should therefore be added to ensure clarity and predictability.</w:t>
      </w:r>
    </w:p>
    <w:p w14:paraId="21CAD188" w14:textId="77777777" w:rsidR="008E40F6" w:rsidRPr="00567142" w:rsidRDefault="008E40F6" w:rsidP="008E40F6">
      <w:pPr>
        <w:spacing w:before="120" w:after="120"/>
        <w:rPr>
          <w:rFonts w:cstheme="minorHAnsi"/>
          <w:sz w:val="20"/>
          <w:szCs w:val="20"/>
        </w:rPr>
      </w:pPr>
      <w:r w:rsidRPr="00567142">
        <w:rPr>
          <w:rFonts w:cstheme="minorHAnsi"/>
          <w:sz w:val="20"/>
          <w:szCs w:val="20"/>
        </w:rPr>
        <w:t>Paragraph (2) goes further by providing that, if URŽ fails to adopt a decision within 30 days, the appeal is automatically upheld and the contracting authority is obliged to cancel the procurement procedure. This mechanism effectively sanctions the contracting authority for the delay of an independent review body over which it has no influence. Such an automatic consequence is disproportionate and inconsistent with basic principles of fairness and legal certainty. Contracting authorities that have conducted the procedure lawfully may see their procedures annulled solely because URŽ did not respect its own deadline. In addition, the rigid 30-day time limit, without any possibility of extension, may prove unrealistic in complex cases.</w:t>
      </w:r>
    </w:p>
    <w:p w14:paraId="7CD516DC" w14:textId="77777777" w:rsidR="008E40F6" w:rsidRPr="00567142" w:rsidRDefault="008E40F6" w:rsidP="008E40F6">
      <w:pPr>
        <w:spacing w:before="120" w:after="120"/>
        <w:rPr>
          <w:rFonts w:cstheme="minorHAnsi"/>
          <w:sz w:val="20"/>
          <w:szCs w:val="20"/>
        </w:rPr>
      </w:pPr>
      <w:r w:rsidRPr="00567142">
        <w:rPr>
          <w:rFonts w:cstheme="minorHAnsi"/>
          <w:sz w:val="20"/>
          <w:szCs w:val="20"/>
        </w:rPr>
        <w:t>A more balanced solution is needed. The law should ensure that URŽ decides within a reasonable period and should allow, in duly justified complex cases, for the time limit to be extended. Unjustified delays should be addressed institutionally without automatically cancelling the procurement procedure.</w:t>
      </w:r>
    </w:p>
    <w:p w14:paraId="15DAE891"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 524 – Competences of the Public Procurement Agency</w:t>
      </w:r>
    </w:p>
    <w:p w14:paraId="0A18B2DC" w14:textId="77777777" w:rsidR="008E40F6" w:rsidRPr="00567142" w:rsidRDefault="008E40F6" w:rsidP="008E40F6">
      <w:pPr>
        <w:spacing w:before="120" w:after="120"/>
        <w:rPr>
          <w:rFonts w:cstheme="minorHAnsi"/>
          <w:sz w:val="20"/>
          <w:szCs w:val="20"/>
        </w:rPr>
      </w:pPr>
      <w:r w:rsidRPr="00567142">
        <w:rPr>
          <w:rFonts w:cstheme="minorHAnsi"/>
          <w:sz w:val="20"/>
          <w:szCs w:val="20"/>
        </w:rPr>
        <w:t>Article 524 assigns a broad range of responsibilities to the PPA. While many of these functions appropriately fall within the mandate of a public procurement authority, several issues arise regarding coherence, duplication and the suitability of specific competences.</w:t>
      </w:r>
    </w:p>
    <w:p w14:paraId="70924D87" w14:textId="77777777" w:rsidR="008E40F6" w:rsidRPr="00567142" w:rsidRDefault="008E40F6" w:rsidP="008E40F6">
      <w:pPr>
        <w:spacing w:before="120" w:after="120"/>
        <w:rPr>
          <w:rFonts w:cstheme="minorHAnsi"/>
          <w:sz w:val="20"/>
          <w:szCs w:val="20"/>
        </w:rPr>
      </w:pPr>
      <w:r w:rsidRPr="00567142">
        <w:rPr>
          <w:rFonts w:cstheme="minorHAnsi"/>
          <w:sz w:val="20"/>
          <w:szCs w:val="20"/>
        </w:rPr>
        <w:t>First, the list is excessively long and lacks internal organisation. Several responsibilities that are thematically linked appear in different parts of the list without any logical grouping. For example, points (c), (p) and (q) all concern electronic procurement systems and digitalisation, yet they are presented separately. Likewise, points (h) and (r) both relate to preparation of guidance, manuals and capacity-building materials but are not consolidated. This fragmented structure reduces clarity and makes the provision unnecessarily difficult to read. A redrafting into thematic clusters, policy and strategy, regulation and oversight, digital systems management, training and guidance, monitoring and reporting, would enhance readability.</w:t>
      </w:r>
    </w:p>
    <w:p w14:paraId="37B5294E"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Second, point (g) empowers the PPA to issue </w:t>
      </w:r>
      <w:r w:rsidRPr="00567142">
        <w:rPr>
          <w:rFonts w:cstheme="minorHAnsi"/>
          <w:i/>
          <w:iCs/>
          <w:sz w:val="20"/>
          <w:szCs w:val="20"/>
        </w:rPr>
        <w:t>binding</w:t>
      </w:r>
      <w:r w:rsidRPr="00567142">
        <w:rPr>
          <w:rFonts w:cstheme="minorHAnsi"/>
          <w:sz w:val="20"/>
          <w:szCs w:val="20"/>
        </w:rPr>
        <w:t xml:space="preserve"> opinions on the proper application of the Public Procurement Law and its secondary legislation. It is highly questionable whether such opinions should be binding in a legal system where an independent review body (URŽ) and the courts also have authority to interpret the law. A binding legal interpretation issued by an administrative agency creates a risk of inconsistency and legal conflict if the PPA’s opinion contradicts a decision of the review body or a judicial ruling. It would be unreasonable to expect URŽ or the courts to consider themselves bound by an administrative instruction of the PPA and such an arrangement would undermine the hierarchy of legal remedies and principles of separation of powers.</w:t>
      </w:r>
    </w:p>
    <w:p w14:paraId="3BFE7984"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In light of the above, Article 524 should be reorganised to ensure that the PPA’s competences are presented in a coherent, non-duplicative and legally sound manner and that functions inconsistent with its regulatory role, such as </w:t>
      </w:r>
      <w:r w:rsidRPr="00567142">
        <w:rPr>
          <w:rFonts w:cstheme="minorHAnsi"/>
          <w:sz w:val="20"/>
          <w:szCs w:val="20"/>
        </w:rPr>
        <w:lastRenderedPageBreak/>
        <w:t>issuing binding legal interpretations, are revised or removed.</w:t>
      </w:r>
    </w:p>
    <w:p w14:paraId="2C88912D"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Articles 525 and 526 – Monitoring of the public procurement system and of the application of procurement rules</w:t>
      </w:r>
    </w:p>
    <w:p w14:paraId="0E36251F" w14:textId="77777777" w:rsidR="008E40F6" w:rsidRPr="00567142" w:rsidRDefault="008E40F6" w:rsidP="008E40F6">
      <w:pPr>
        <w:spacing w:before="120" w:after="120"/>
        <w:rPr>
          <w:rFonts w:cstheme="minorHAnsi"/>
          <w:sz w:val="20"/>
          <w:szCs w:val="20"/>
        </w:rPr>
      </w:pPr>
      <w:r w:rsidRPr="00567142">
        <w:rPr>
          <w:rFonts w:cstheme="minorHAnsi"/>
          <w:sz w:val="20"/>
          <w:szCs w:val="20"/>
        </w:rPr>
        <w:t>Articles 525 and 526 regulate in great detail the monitoring functions of the PPA. While system-level monitoring and monitoring of the application of the law are important responsibilities of the PPA (already recognised in Article 524(j)), the level of operational prescription is not appropriate for primary legislation.</w:t>
      </w:r>
    </w:p>
    <w:p w14:paraId="4E3ACB76" w14:textId="77777777" w:rsidR="008E40F6" w:rsidRPr="00567142" w:rsidRDefault="008E40F6" w:rsidP="008E40F6">
      <w:pPr>
        <w:spacing w:before="120" w:after="120"/>
        <w:rPr>
          <w:rFonts w:cstheme="minorHAnsi"/>
          <w:sz w:val="20"/>
          <w:szCs w:val="20"/>
        </w:rPr>
      </w:pPr>
      <w:r w:rsidRPr="00567142">
        <w:rPr>
          <w:rFonts w:cstheme="minorHAnsi"/>
          <w:sz w:val="20"/>
          <w:szCs w:val="20"/>
        </w:rPr>
        <w:t>Article 525 defines “monitoring of the public procurement system of Bosnia and Herzegovina” and lists its purposes, types, indicators and expected outputs. However, most of its content reads as a methodological or policy document rather than primary legislation. Article elaborates at length on the objectives, forms and indicators of monitoring and even describes analytical approaches that the PPA should use. Such operational detail is better suited to a monitoring methodology, strategy, or by-law adopted by the PPA, rather than to the Public Procurement Law itself. This is particularly evident given that Article 545 already provides that issues related to monitoring are to be regulated by secondary legislation. The Law should therefore confine itself to defining the PPA’s mandate to carry out system monitoring, its main objectives and reporting obligations (e.g. annual report on the public procurement system), while leaving indicators, methods and internal procedures to be set out in a by-law.</w:t>
      </w:r>
    </w:p>
    <w:p w14:paraId="409C465C" w14:textId="77777777" w:rsidR="008E40F6" w:rsidRPr="00567142" w:rsidRDefault="008E40F6" w:rsidP="008E40F6">
      <w:pPr>
        <w:spacing w:before="120" w:after="120"/>
        <w:rPr>
          <w:rFonts w:cstheme="minorHAnsi"/>
          <w:sz w:val="20"/>
          <w:szCs w:val="20"/>
        </w:rPr>
      </w:pPr>
      <w:r w:rsidRPr="00567142">
        <w:rPr>
          <w:rFonts w:cstheme="minorHAnsi"/>
          <w:sz w:val="20"/>
          <w:szCs w:val="20"/>
        </w:rPr>
        <w:t>Article 526 goes even further in prescribing the monitoring of the application of public procurement rules. It regulates in extremely detailed terms the sources of data, types of monitoring (regular, extraordinary, follow-up, supplementary), the content and structure of complaints and requests, timelines, the internal classification of monitoring plans, the precise content of monitoring minutes and even the format and content of internal notes. Provision also introduces far-reaching consequences, such as automatic nullity of procedures and contracts where entities do not implement the “measures” set out in the PPA’s monitoring minutes (paragraph 27). This level of prescriptive detail and the link between non-compliance with monitoring “measures” and nullity of procedures and contracts are not typical for a procurement statute and raise questions of legal certainty and proportionality.</w:t>
      </w:r>
    </w:p>
    <w:p w14:paraId="4643FEC1"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It is recommended that the Law set out only the basic competences of the PPA regarding monitoring (mandate, scope, subjects, possibility to issue recommendations and report), while detailed procedures, types of monitoring, content of documents and internal workflows are regulated by secondary legislation. </w:t>
      </w:r>
    </w:p>
    <w:p w14:paraId="399108F5" w14:textId="77777777" w:rsidR="008E40F6" w:rsidRPr="00567142" w:rsidRDefault="008E40F6" w:rsidP="008E40F6">
      <w:pPr>
        <w:spacing w:before="120" w:after="120"/>
        <w:rPr>
          <w:rFonts w:cstheme="minorHAnsi"/>
          <w:sz w:val="20"/>
          <w:szCs w:val="20"/>
        </w:rPr>
      </w:pPr>
      <w:r w:rsidRPr="00567142">
        <w:rPr>
          <w:rFonts w:cstheme="minorHAnsi"/>
          <w:b/>
          <w:bCs/>
          <w:sz w:val="20"/>
          <w:szCs w:val="20"/>
        </w:rPr>
        <w:t>Articles 536–543 – Misdemeanours and criminal offences</w:t>
      </w:r>
    </w:p>
    <w:p w14:paraId="0C11667D" w14:textId="77777777" w:rsidR="008E40F6" w:rsidRPr="00567142" w:rsidRDefault="008E40F6" w:rsidP="008E40F6">
      <w:pPr>
        <w:spacing w:before="120" w:after="120"/>
        <w:rPr>
          <w:rFonts w:cstheme="minorHAnsi"/>
          <w:sz w:val="20"/>
          <w:szCs w:val="20"/>
        </w:rPr>
      </w:pPr>
      <w:r w:rsidRPr="00567142">
        <w:rPr>
          <w:rFonts w:cstheme="minorHAnsi"/>
          <w:sz w:val="20"/>
          <w:szCs w:val="20"/>
        </w:rPr>
        <w:t>Articles 536–543 establish an extensive regime of misdemeanour and criminal liability for conduct related to public procurement. The overall approach in the draft Law appears disproportionate to the nature and objectives of public procurement law.</w:t>
      </w:r>
    </w:p>
    <w:p w14:paraId="129587D4"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First, public procurement is primarily an administrative and economic function, not a criminal one. The draft blurs the boundary between administrative oversight and criminal liability by penalising, often with very high fines, a broad range of behaviour that may stem from interpretation difficulties, complex procedures or organisational weaknesses rather than intentional misconduct. Articles 536–540 list a very wide catalogue of misdemeanours, many of which concern formal or procedural obligations (planning and publication duties, documentation, cooperation with the review body, etc.). Sanctioning almost every deviation with substantial fines for both contracting authorities and responsible individuals, coupled with the possibility of protective measures, creates an overly punitive environment. This risks driving contracting authorities towards defensive, formalistic behaviour instead of focusing on value for money, discouraging participation, especially of smaller economic operators and slowing down procedures as authorities become over-cautious to avoid personal liability. </w:t>
      </w:r>
    </w:p>
    <w:p w14:paraId="0D888F42" w14:textId="77777777" w:rsidR="008E40F6" w:rsidRPr="00567142" w:rsidRDefault="008E40F6" w:rsidP="008E40F6">
      <w:pPr>
        <w:spacing w:before="120" w:after="120"/>
        <w:rPr>
          <w:rFonts w:cstheme="minorHAnsi"/>
          <w:sz w:val="20"/>
          <w:szCs w:val="20"/>
        </w:rPr>
      </w:pPr>
      <w:r w:rsidRPr="00567142">
        <w:rPr>
          <w:rFonts w:cstheme="minorHAnsi"/>
          <w:sz w:val="20"/>
          <w:szCs w:val="20"/>
        </w:rPr>
        <w:t>Second, there is significant overlap between misdemeanours and criminal offences. Conduct such as splitting contracts to avoid thresholds, using the negotiated procedure without publication unlawfully, purchasing without a procedure, or tailoring technical specifications appears both as misdemeanour (Article 536(1)(a)–(c), (f)) and as criminal offence (Article 542). This duplication undermines legal certainty, blurs the distinction between administrative and criminal liability and creates a practical risk of double proceedings for the same underlying behaviour. It also conflicts with the principle that criminal law should function as ultima ratio, reserved for clearly defined, intentional acts that seriously distort competition or involve corruption (e.g. bid-rigging, fraudulent misrepresentation, intentional favouritism for private gain).</w:t>
      </w:r>
    </w:p>
    <w:p w14:paraId="4AEC9624" w14:textId="77777777" w:rsidR="008E40F6" w:rsidRPr="00567142" w:rsidRDefault="008E40F6" w:rsidP="008E40F6">
      <w:pPr>
        <w:spacing w:before="120" w:after="120"/>
        <w:rPr>
          <w:rFonts w:cstheme="minorHAnsi"/>
          <w:sz w:val="20"/>
          <w:szCs w:val="20"/>
        </w:rPr>
      </w:pPr>
      <w:r w:rsidRPr="00567142">
        <w:rPr>
          <w:rFonts w:cstheme="minorHAnsi"/>
          <w:sz w:val="20"/>
          <w:szCs w:val="20"/>
        </w:rPr>
        <w:t xml:space="preserve">For these reasons, the penalty regime in Articles 536–543 should be substantially reconsidered. The catalogue of </w:t>
      </w:r>
      <w:r w:rsidRPr="00567142">
        <w:rPr>
          <w:rFonts w:cstheme="minorHAnsi"/>
          <w:sz w:val="20"/>
          <w:szCs w:val="20"/>
        </w:rPr>
        <w:lastRenderedPageBreak/>
        <w:t>misdemeanours should be streamlined and prioritised, fine ranges adjusted to be proportionate to the gravity and impact of violations and criminal offences narrowed and more precisely defined, focusing on serious corruption-related and market-distorting conduct. Less serious or primarily formal breaches should be addressed through corrective mechanisms rather than through criminalisation.</w:t>
      </w:r>
    </w:p>
    <w:p w14:paraId="0F396CE6" w14:textId="77777777" w:rsidR="008E40F6" w:rsidRDefault="008E40F6" w:rsidP="008E40F6">
      <w:pPr>
        <w:pStyle w:val="Title3"/>
        <w:jc w:val="both"/>
      </w:pPr>
      <w:r>
        <w:t>Next Steps</w:t>
      </w:r>
    </w:p>
    <w:p w14:paraId="29136F93" w14:textId="77777777" w:rsidR="008E40F6" w:rsidRPr="00602736" w:rsidRDefault="008E40F6" w:rsidP="008E40F6">
      <w:pPr>
        <w:spacing w:before="120" w:after="120"/>
        <w:rPr>
          <w:rFonts w:ascii="Arial" w:hAnsi="Arial" w:cs="Arial"/>
          <w:sz w:val="20"/>
          <w:szCs w:val="20"/>
        </w:rPr>
      </w:pPr>
      <w:r w:rsidRPr="00602736">
        <w:rPr>
          <w:rFonts w:ascii="Arial" w:hAnsi="Arial" w:cs="Arial"/>
          <w:sz w:val="20"/>
          <w:szCs w:val="20"/>
        </w:rPr>
        <w:t xml:space="preserve">The draft Law represents a substantial legislative reform effort, and addressing the issues identified in this assessment will require careful consideration and further technical work. SIGMA encourages the </w:t>
      </w:r>
      <w:r>
        <w:rPr>
          <w:rFonts w:ascii="Arial" w:hAnsi="Arial" w:cs="Arial"/>
          <w:sz w:val="20"/>
          <w:szCs w:val="20"/>
        </w:rPr>
        <w:t>PPA</w:t>
      </w:r>
      <w:r w:rsidRPr="00602736">
        <w:rPr>
          <w:rFonts w:ascii="Arial" w:hAnsi="Arial" w:cs="Arial"/>
          <w:sz w:val="20"/>
          <w:szCs w:val="20"/>
        </w:rPr>
        <w:t xml:space="preserve"> to reflect on the observations outlined in this Opinion and to engage in a structured revision process that ensures legal certainty, proportionality</w:t>
      </w:r>
      <w:r>
        <w:rPr>
          <w:rFonts w:ascii="Arial" w:hAnsi="Arial" w:cs="Arial"/>
          <w:sz w:val="20"/>
          <w:szCs w:val="20"/>
        </w:rPr>
        <w:t xml:space="preserve">, </w:t>
      </w:r>
      <w:r w:rsidRPr="00CB2E6A">
        <w:rPr>
          <w:rFonts w:ascii="Arial" w:hAnsi="Arial" w:cs="Arial"/>
          <w:sz w:val="20"/>
          <w:szCs w:val="20"/>
        </w:rPr>
        <w:t xml:space="preserve">effectiveness and practicality of the future </w:t>
      </w:r>
      <w:r w:rsidRPr="00602736">
        <w:rPr>
          <w:rFonts w:ascii="Arial" w:hAnsi="Arial" w:cs="Arial"/>
          <w:sz w:val="20"/>
          <w:szCs w:val="20"/>
        </w:rPr>
        <w:t>Public Procurement Law.</w:t>
      </w:r>
    </w:p>
    <w:p w14:paraId="69AC20D5" w14:textId="77777777" w:rsidR="008E40F6" w:rsidRPr="00602736" w:rsidRDefault="008E40F6" w:rsidP="008E40F6">
      <w:pPr>
        <w:spacing w:before="120" w:after="120"/>
        <w:rPr>
          <w:rFonts w:ascii="Arial" w:hAnsi="Arial" w:cs="Arial"/>
          <w:sz w:val="20"/>
          <w:szCs w:val="20"/>
        </w:rPr>
      </w:pPr>
      <w:r w:rsidRPr="00602736">
        <w:rPr>
          <w:rFonts w:ascii="Arial" w:hAnsi="Arial" w:cs="Arial"/>
          <w:sz w:val="20"/>
          <w:szCs w:val="20"/>
        </w:rPr>
        <w:t>As the legislative process advances, additional dialogue with stakeholders</w:t>
      </w:r>
      <w:r>
        <w:rPr>
          <w:rFonts w:ascii="Arial" w:hAnsi="Arial" w:cs="Arial"/>
          <w:sz w:val="20"/>
          <w:szCs w:val="20"/>
        </w:rPr>
        <w:t xml:space="preserve"> </w:t>
      </w:r>
      <w:r w:rsidRPr="00602736">
        <w:rPr>
          <w:rFonts w:ascii="Arial" w:hAnsi="Arial" w:cs="Arial"/>
          <w:sz w:val="20"/>
          <w:szCs w:val="20"/>
        </w:rPr>
        <w:t>may help clarify implementation needs and assess the impact of proposed solutions.</w:t>
      </w:r>
    </w:p>
    <w:p w14:paraId="0B7481B2" w14:textId="77777777" w:rsidR="008E40F6" w:rsidRPr="00602736" w:rsidRDefault="008E40F6" w:rsidP="008E40F6">
      <w:pPr>
        <w:spacing w:before="120" w:after="120"/>
        <w:rPr>
          <w:rFonts w:ascii="Arial" w:hAnsi="Arial" w:cs="Arial"/>
          <w:sz w:val="20"/>
          <w:szCs w:val="20"/>
        </w:rPr>
      </w:pPr>
      <w:r w:rsidRPr="00602736">
        <w:rPr>
          <w:rFonts w:ascii="Arial" w:hAnsi="Arial" w:cs="Arial"/>
          <w:sz w:val="20"/>
          <w:szCs w:val="20"/>
        </w:rPr>
        <w:t>SIGMA remains available to provide further technical assistance, including support in reviewing revised drafts, advising on specific legal or institutional questions, and contributing to the development of secondary legislation or guidance needed to operationalise the new framework.</w:t>
      </w:r>
    </w:p>
    <w:p w14:paraId="7A61D0D2" w14:textId="77777777" w:rsidR="00CD05E0" w:rsidRDefault="00CD05E0"/>
    <w:sectPr w:rsidR="00CD05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3708" w14:textId="77777777" w:rsidR="00197F1A" w:rsidRDefault="00197F1A" w:rsidP="008E40F6">
      <w:r>
        <w:separator/>
      </w:r>
    </w:p>
  </w:endnote>
  <w:endnote w:type="continuationSeparator" w:id="0">
    <w:p w14:paraId="3A602CE0" w14:textId="77777777" w:rsidR="00197F1A" w:rsidRDefault="00197F1A" w:rsidP="008E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D3D1" w14:textId="77777777" w:rsidR="00197F1A" w:rsidRDefault="00197F1A" w:rsidP="008E40F6">
      <w:r>
        <w:separator/>
      </w:r>
    </w:p>
  </w:footnote>
  <w:footnote w:type="continuationSeparator" w:id="0">
    <w:p w14:paraId="2A0527FF" w14:textId="77777777" w:rsidR="00197F1A" w:rsidRDefault="00197F1A" w:rsidP="008E40F6">
      <w:r>
        <w:continuationSeparator/>
      </w:r>
    </w:p>
  </w:footnote>
  <w:footnote w:id="1">
    <w:p w14:paraId="0FA035E0" w14:textId="77777777" w:rsidR="008E40F6" w:rsidRPr="00FB5FC1" w:rsidRDefault="008E40F6" w:rsidP="008E40F6">
      <w:pPr>
        <w:pStyle w:val="FootnoteText"/>
        <w:spacing w:after="60" w:line="240" w:lineRule="auto"/>
        <w:ind w:left="284" w:hanging="284"/>
        <w:rPr>
          <w:rFonts w:ascii="Arial" w:hAnsi="Arial" w:cs="Arial"/>
          <w:szCs w:val="18"/>
        </w:rPr>
      </w:pPr>
      <w:r w:rsidRPr="00FB5FC1">
        <w:rPr>
          <w:rStyle w:val="FootnoteReference"/>
          <w:rFonts w:ascii="Arial" w:hAnsi="Arial" w:cs="Arial"/>
          <w:szCs w:val="18"/>
        </w:rPr>
        <w:footnoteRef/>
      </w:r>
      <w:r w:rsidRPr="00FB5FC1">
        <w:rPr>
          <w:rFonts w:ascii="Arial" w:hAnsi="Arial" w:cs="Arial"/>
          <w:szCs w:val="18"/>
        </w:rPr>
        <w:t xml:space="preserve"> </w:t>
      </w:r>
      <w:r>
        <w:rPr>
          <w:rFonts w:ascii="Arial" w:hAnsi="Arial" w:cs="Arial"/>
          <w:szCs w:val="18"/>
        </w:rPr>
        <w:tab/>
      </w:r>
      <w:r w:rsidRPr="00FB5FC1">
        <w:rPr>
          <w:rFonts w:ascii="Arial" w:hAnsi="Arial" w:cs="Arial"/>
          <w:szCs w:val="18"/>
        </w:rPr>
        <w:t xml:space="preserve">Directive 2014/24/EU of the European Parliament and of the Council of 26 February 2014 on public procurement and repealing directive 2004/18/EC. </w:t>
      </w:r>
    </w:p>
  </w:footnote>
  <w:footnote w:id="2">
    <w:p w14:paraId="103F8C4C" w14:textId="77777777" w:rsidR="008E40F6" w:rsidRPr="00FB5FC1" w:rsidRDefault="008E40F6" w:rsidP="008E40F6">
      <w:pPr>
        <w:pStyle w:val="FootnoteText"/>
        <w:spacing w:after="60" w:line="240" w:lineRule="auto"/>
        <w:ind w:left="284" w:hanging="284"/>
        <w:rPr>
          <w:rFonts w:ascii="Arial" w:hAnsi="Arial" w:cs="Arial"/>
          <w:szCs w:val="18"/>
        </w:rPr>
      </w:pPr>
      <w:r w:rsidRPr="00FB5FC1">
        <w:rPr>
          <w:rStyle w:val="FootnoteReference"/>
          <w:rFonts w:ascii="Arial" w:hAnsi="Arial" w:cs="Arial"/>
          <w:szCs w:val="18"/>
        </w:rPr>
        <w:footnoteRef/>
      </w:r>
      <w:r w:rsidRPr="00FB5FC1">
        <w:rPr>
          <w:rFonts w:ascii="Arial" w:hAnsi="Arial" w:cs="Arial"/>
          <w:szCs w:val="18"/>
        </w:rPr>
        <w:t xml:space="preserve"> </w:t>
      </w:r>
      <w:r>
        <w:rPr>
          <w:rFonts w:ascii="Arial" w:hAnsi="Arial" w:cs="Arial"/>
          <w:szCs w:val="18"/>
        </w:rPr>
        <w:tab/>
      </w:r>
      <w:r w:rsidRPr="00FB5FC1">
        <w:rPr>
          <w:rFonts w:ascii="Arial" w:hAnsi="Arial" w:cs="Arial"/>
          <w:szCs w:val="18"/>
        </w:rPr>
        <w:t>Directive 2014/25/EU of the European Parliament and of the Council of 26 February 2014 on procurement by entities operating in the water, energy, transport and postal services sectors and repealing directive 2004/17/EC.</w:t>
      </w:r>
    </w:p>
  </w:footnote>
  <w:footnote w:id="3">
    <w:p w14:paraId="70F602BE" w14:textId="77777777" w:rsidR="008E40F6" w:rsidRPr="00FB5FC1" w:rsidRDefault="008E40F6" w:rsidP="008E40F6">
      <w:pPr>
        <w:spacing w:after="60"/>
        <w:ind w:left="284" w:hanging="284"/>
        <w:rPr>
          <w:rFonts w:ascii="Arial" w:hAnsi="Arial" w:cs="Arial"/>
          <w:sz w:val="18"/>
          <w:szCs w:val="18"/>
        </w:rPr>
      </w:pPr>
      <w:r w:rsidRPr="00FB5FC1">
        <w:rPr>
          <w:rStyle w:val="FootnoteReference"/>
          <w:rFonts w:ascii="Arial" w:hAnsi="Arial" w:cs="Arial"/>
          <w:sz w:val="18"/>
          <w:szCs w:val="18"/>
        </w:rPr>
        <w:footnoteRef/>
      </w:r>
      <w:r w:rsidRPr="00FB5FC1">
        <w:rPr>
          <w:rFonts w:ascii="Arial" w:hAnsi="Arial" w:cs="Arial"/>
          <w:sz w:val="18"/>
          <w:szCs w:val="18"/>
        </w:rPr>
        <w:t xml:space="preserve"> </w:t>
      </w:r>
      <w:r>
        <w:rPr>
          <w:rFonts w:ascii="Arial" w:hAnsi="Arial" w:cs="Arial"/>
          <w:sz w:val="18"/>
          <w:szCs w:val="18"/>
        </w:rPr>
        <w:tab/>
      </w:r>
      <w:r w:rsidRPr="00FB5FC1">
        <w:rPr>
          <w:rFonts w:ascii="Arial" w:hAnsi="Arial" w:cs="Arial"/>
          <w:sz w:val="18"/>
          <w:szCs w:val="18"/>
        </w:rPr>
        <w:t xml:space="preserve">Council Directive 89/665/EEC of 21 December 1989 on the coordination of the laws, regulations and administrative provisions relating to the application of review procedures to the award of public supply and public works contracts and Council Directive 92/13/EEC of 25 February 1992 coordinating the laws, regulations and administrative provisions relating to the application of Community rules on the procurement procedures of entities operating in the water, energy, transport and telecommunications sectors; both directives were significantly amended first by Directive 2007/66/EC of the European Parliament and of the Council of 11 December 2007 amending Council Directives 89/665/EEC and 92/13/EEC with regard to improving the effectiveness of review procedures concerning the award of public contracts and then by Directive 2014/23 on award of concessions contracts. </w:t>
      </w:r>
    </w:p>
  </w:footnote>
  <w:footnote w:id="4">
    <w:p w14:paraId="28D429A3" w14:textId="77777777" w:rsidR="008E40F6" w:rsidRPr="00E7695B" w:rsidRDefault="008E40F6" w:rsidP="008E40F6">
      <w:pPr>
        <w:pStyle w:val="FootnoteText"/>
        <w:spacing w:after="60" w:line="240" w:lineRule="auto"/>
        <w:ind w:left="284" w:hanging="284"/>
      </w:pPr>
      <w:r w:rsidRPr="00FB5FC1">
        <w:rPr>
          <w:rStyle w:val="FootnoteReference"/>
          <w:rFonts w:ascii="Arial" w:hAnsi="Arial" w:cs="Arial"/>
          <w:szCs w:val="18"/>
        </w:rPr>
        <w:footnoteRef/>
      </w:r>
      <w:r w:rsidRPr="00FB5FC1">
        <w:rPr>
          <w:rFonts w:ascii="Arial" w:hAnsi="Arial" w:cs="Arial"/>
          <w:szCs w:val="18"/>
        </w:rPr>
        <w:t xml:space="preserve"> </w:t>
      </w:r>
      <w:r>
        <w:rPr>
          <w:rFonts w:ascii="Arial" w:hAnsi="Arial" w:cs="Arial"/>
          <w:szCs w:val="18"/>
        </w:rPr>
        <w:tab/>
      </w:r>
      <w:r w:rsidRPr="00FB5FC1">
        <w:rPr>
          <w:rFonts w:ascii="Arial" w:hAnsi="Arial" w:cs="Arial"/>
          <w:szCs w:val="18"/>
        </w:rPr>
        <w:t>Directive 2009/81/EC of the European Parliament and of the Council of 13 July 2009 on the coordination of procedures for the award of certain works contracts, supply contracts and service contracts by contracting authorities or entities in the fields of defence and security, and amending Directives 2004/17/EC and 2004/18/EC.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9720F"/>
    <w:multiLevelType w:val="multilevel"/>
    <w:tmpl w:val="06BE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A388A"/>
    <w:multiLevelType w:val="hybridMultilevel"/>
    <w:tmpl w:val="9342AE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688009">
    <w:abstractNumId w:val="1"/>
  </w:num>
  <w:num w:numId="2" w16cid:durableId="22583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F6"/>
    <w:rsid w:val="00197F1A"/>
    <w:rsid w:val="00214DEE"/>
    <w:rsid w:val="005A1FD8"/>
    <w:rsid w:val="00607EDC"/>
    <w:rsid w:val="008E40F6"/>
    <w:rsid w:val="00CD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EC5F"/>
  <w15:chartTrackingRefBased/>
  <w15:docId w15:val="{BA7E737E-E314-405B-9519-46BCF2AB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3" w:unhideWhenUsed="1" w:qFormat="1"/>
    <w:lsdException w:name="heading 7" w:semiHidden="1" w:uiPriority="19" w:unhideWhenUsed="1" w:qFormat="1"/>
    <w:lsdException w:name="heading 8" w:semiHidden="1" w:uiPriority="9" w:unhideWhenUsed="1" w:qFormat="1"/>
    <w:lsdException w:name="heading 9" w:semiHidden="1" w:uiPriority="2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40F6"/>
    <w:pPr>
      <w:widowControl w:val="0"/>
      <w:spacing w:after="0" w:line="240" w:lineRule="auto"/>
      <w:jc w:val="both"/>
    </w:pPr>
    <w:rPr>
      <w:kern w:val="0"/>
      <w:lang w:val="en-GB"/>
      <w14:ligatures w14:val="none"/>
    </w:rPr>
  </w:style>
  <w:style w:type="paragraph" w:styleId="Heading1">
    <w:name w:val="heading 1"/>
    <w:basedOn w:val="Normal"/>
    <w:next w:val="Normal"/>
    <w:link w:val="Heading1Char"/>
    <w:uiPriority w:val="4"/>
    <w:qFormat/>
    <w:rsid w:val="008E4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7"/>
    <w:unhideWhenUsed/>
    <w:qFormat/>
    <w:rsid w:val="008E4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4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4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8E40F6"/>
    <w:pPr>
      <w:keepNext/>
      <w:keepLines/>
      <w:spacing w:before="80" w:after="40"/>
      <w:outlineLvl w:val="4"/>
    </w:pPr>
    <w:rPr>
      <w:rFonts w:eastAsiaTheme="majorEastAsia" w:cstheme="majorBidi"/>
      <w:color w:val="2F5496" w:themeColor="accent1" w:themeShade="BF"/>
    </w:rPr>
  </w:style>
  <w:style w:type="paragraph" w:styleId="Heading6">
    <w:name w:val="heading 6"/>
    <w:aliases w:val="Part"/>
    <w:basedOn w:val="Normal"/>
    <w:next w:val="Normal"/>
    <w:link w:val="Heading6Char"/>
    <w:uiPriority w:val="3"/>
    <w:unhideWhenUsed/>
    <w:qFormat/>
    <w:rsid w:val="008E40F6"/>
    <w:pPr>
      <w:keepNext/>
      <w:keepLines/>
      <w:spacing w:before="40"/>
      <w:outlineLvl w:val="5"/>
    </w:pPr>
    <w:rPr>
      <w:rFonts w:eastAsiaTheme="majorEastAsia" w:cstheme="majorBidi"/>
      <w:i/>
      <w:iCs/>
      <w:color w:val="595959" w:themeColor="text1" w:themeTint="A6"/>
    </w:rPr>
  </w:style>
  <w:style w:type="paragraph" w:styleId="Heading7">
    <w:name w:val="heading 7"/>
    <w:aliases w:val="Doc AnnX"/>
    <w:basedOn w:val="Normal"/>
    <w:next w:val="Normal"/>
    <w:link w:val="Heading7Char"/>
    <w:uiPriority w:val="19"/>
    <w:unhideWhenUsed/>
    <w:qFormat/>
    <w:rsid w:val="008E40F6"/>
    <w:pPr>
      <w:keepNext/>
      <w:keepLines/>
      <w:spacing w:before="40"/>
      <w:outlineLvl w:val="6"/>
    </w:pPr>
    <w:rPr>
      <w:rFonts w:eastAsiaTheme="majorEastAsia" w:cstheme="majorBidi"/>
      <w:color w:val="595959" w:themeColor="text1" w:themeTint="A6"/>
    </w:rPr>
  </w:style>
  <w:style w:type="paragraph" w:styleId="Heading8">
    <w:name w:val="heading 8"/>
    <w:aliases w:val="Part AnnX"/>
    <w:basedOn w:val="Normal"/>
    <w:next w:val="Normal"/>
    <w:link w:val="Heading8Char"/>
    <w:uiPriority w:val="9"/>
    <w:unhideWhenUsed/>
    <w:qFormat/>
    <w:rsid w:val="008E40F6"/>
    <w:pPr>
      <w:keepNext/>
      <w:keepLines/>
      <w:outlineLvl w:val="7"/>
    </w:pPr>
    <w:rPr>
      <w:rFonts w:eastAsiaTheme="majorEastAsia" w:cstheme="majorBidi"/>
      <w:i/>
      <w:iCs/>
      <w:color w:val="272727" w:themeColor="text1" w:themeTint="D8"/>
    </w:rPr>
  </w:style>
  <w:style w:type="paragraph" w:styleId="Heading9">
    <w:name w:val="heading 9"/>
    <w:aliases w:val="Chap AnnX"/>
    <w:basedOn w:val="Normal"/>
    <w:next w:val="Normal"/>
    <w:link w:val="Heading9Char"/>
    <w:uiPriority w:val="20"/>
    <w:unhideWhenUsed/>
    <w:qFormat/>
    <w:rsid w:val="008E40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E4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0F6"/>
    <w:rPr>
      <w:rFonts w:eastAsiaTheme="majorEastAsia" w:cstheme="majorBidi"/>
      <w:color w:val="272727" w:themeColor="text1" w:themeTint="D8"/>
    </w:rPr>
  </w:style>
  <w:style w:type="paragraph" w:styleId="Title">
    <w:name w:val="Title"/>
    <w:basedOn w:val="Normal"/>
    <w:next w:val="Normal"/>
    <w:link w:val="TitleChar"/>
    <w:uiPriority w:val="10"/>
    <w:qFormat/>
    <w:rsid w:val="008E40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0F6"/>
    <w:pPr>
      <w:spacing w:before="160"/>
      <w:jc w:val="center"/>
    </w:pPr>
    <w:rPr>
      <w:i/>
      <w:iCs/>
      <w:color w:val="404040" w:themeColor="text1" w:themeTint="BF"/>
    </w:rPr>
  </w:style>
  <w:style w:type="character" w:customStyle="1" w:styleId="QuoteChar">
    <w:name w:val="Quote Char"/>
    <w:basedOn w:val="DefaultParagraphFont"/>
    <w:link w:val="Quote"/>
    <w:uiPriority w:val="29"/>
    <w:rsid w:val="008E40F6"/>
    <w:rPr>
      <w:i/>
      <w:iCs/>
      <w:color w:val="404040" w:themeColor="text1" w:themeTint="BF"/>
    </w:rPr>
  </w:style>
  <w:style w:type="paragraph" w:styleId="ListParagraph">
    <w:name w:val="List Paragraph"/>
    <w:basedOn w:val="Normal"/>
    <w:uiPriority w:val="34"/>
    <w:qFormat/>
    <w:rsid w:val="008E40F6"/>
    <w:pPr>
      <w:ind w:left="720"/>
      <w:contextualSpacing/>
    </w:pPr>
  </w:style>
  <w:style w:type="character" w:styleId="IntenseEmphasis">
    <w:name w:val="Intense Emphasis"/>
    <w:basedOn w:val="DefaultParagraphFont"/>
    <w:uiPriority w:val="21"/>
    <w:qFormat/>
    <w:rsid w:val="008E40F6"/>
    <w:rPr>
      <w:i/>
      <w:iCs/>
      <w:color w:val="2F5496" w:themeColor="accent1" w:themeShade="BF"/>
    </w:rPr>
  </w:style>
  <w:style w:type="paragraph" w:styleId="IntenseQuote">
    <w:name w:val="Intense Quote"/>
    <w:basedOn w:val="Normal"/>
    <w:next w:val="Normal"/>
    <w:link w:val="IntenseQuoteChar"/>
    <w:uiPriority w:val="30"/>
    <w:qFormat/>
    <w:rsid w:val="008E4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0F6"/>
    <w:rPr>
      <w:i/>
      <w:iCs/>
      <w:color w:val="2F5496" w:themeColor="accent1" w:themeShade="BF"/>
    </w:rPr>
  </w:style>
  <w:style w:type="character" w:styleId="IntenseReference">
    <w:name w:val="Intense Reference"/>
    <w:basedOn w:val="DefaultParagraphFont"/>
    <w:uiPriority w:val="32"/>
    <w:qFormat/>
    <w:rsid w:val="008E40F6"/>
    <w:rPr>
      <w:b/>
      <w:bCs/>
      <w:smallCaps/>
      <w:color w:val="2F5496" w:themeColor="accent1" w:themeShade="BF"/>
      <w:spacing w:val="5"/>
    </w:rPr>
  </w:style>
  <w:style w:type="paragraph" w:customStyle="1" w:styleId="Para">
    <w:name w:val="Para"/>
    <w:link w:val="ParaChar"/>
    <w:uiPriority w:val="4"/>
    <w:qFormat/>
    <w:rsid w:val="008E40F6"/>
    <w:pPr>
      <w:spacing w:before="120" w:after="120" w:line="240" w:lineRule="auto"/>
      <w:jc w:val="both"/>
    </w:pPr>
    <w:rPr>
      <w:color w:val="000000" w:themeColor="text1"/>
      <w:kern w:val="0"/>
      <w:sz w:val="20"/>
      <w:lang w:val="en-GB"/>
      <w14:ligatures w14:val="none"/>
    </w:rPr>
  </w:style>
  <w:style w:type="character" w:customStyle="1" w:styleId="ParaChar">
    <w:name w:val="Para Char"/>
    <w:basedOn w:val="DefaultParagraphFont"/>
    <w:link w:val="Para"/>
    <w:uiPriority w:val="4"/>
    <w:rsid w:val="008E40F6"/>
    <w:rPr>
      <w:color w:val="000000" w:themeColor="text1"/>
      <w:kern w:val="0"/>
      <w:sz w:val="20"/>
      <w:lang w:val="en-GB"/>
      <w14:ligatures w14:val="none"/>
    </w:rPr>
  </w:style>
  <w:style w:type="paragraph" w:customStyle="1" w:styleId="Title2">
    <w:name w:val="Title 2"/>
    <w:next w:val="Para"/>
    <w:qFormat/>
    <w:rsid w:val="008E40F6"/>
    <w:pPr>
      <w:keepNext/>
      <w:spacing w:before="360" w:after="240" w:line="320" w:lineRule="exact"/>
      <w:outlineLvl w:val="1"/>
    </w:pPr>
    <w:rPr>
      <w:rFonts w:eastAsiaTheme="majorEastAsia" w:cstheme="majorBidi"/>
      <w:b/>
      <w:color w:val="4472C4" w:themeColor="accent1"/>
      <w:kern w:val="0"/>
      <w:sz w:val="24"/>
      <w:szCs w:val="26"/>
      <w:lang w:val="en-GB"/>
      <w14:ligatures w14:val="none"/>
    </w:rPr>
  </w:style>
  <w:style w:type="paragraph" w:customStyle="1" w:styleId="Title3">
    <w:name w:val="Title 3"/>
    <w:next w:val="Para"/>
    <w:qFormat/>
    <w:rsid w:val="008E40F6"/>
    <w:pPr>
      <w:keepNext/>
      <w:spacing w:before="280" w:after="180" w:line="280" w:lineRule="exact"/>
      <w:outlineLvl w:val="2"/>
    </w:pPr>
    <w:rPr>
      <w:rFonts w:eastAsiaTheme="majorEastAsia" w:cstheme="majorBidi"/>
      <w:b/>
      <w:i/>
      <w:color w:val="000000" w:themeColor="text1"/>
      <w:kern w:val="0"/>
      <w:szCs w:val="24"/>
      <w:lang w:val="en-GB"/>
      <w14:ligatures w14:val="none"/>
    </w:rPr>
  </w:style>
  <w:style w:type="paragraph" w:styleId="FootnoteText">
    <w:name w:val="footnote text"/>
    <w:aliases w:val="fn,Footnote Text Char Char Char,Footnote Text Char Char,Fußnote,Car Car,Footnote Text Char Char1,Footnote Text Char1 Char Char,Footnote Text Char Char1 Char Char,Footnote Text Char Char Char Char Char Char, Car Car,single space,Char,Знак1"/>
    <w:link w:val="FootnoteTextChar"/>
    <w:uiPriority w:val="99"/>
    <w:unhideWhenUsed/>
    <w:qFormat/>
    <w:rsid w:val="008E40F6"/>
    <w:pPr>
      <w:spacing w:after="120" w:line="240" w:lineRule="exact"/>
      <w:jc w:val="both"/>
    </w:pPr>
    <w:rPr>
      <w:kern w:val="0"/>
      <w:sz w:val="18"/>
      <w:szCs w:val="20"/>
      <w:lang w:val="en-GB"/>
      <w14:ligatures w14:val="none"/>
    </w:rPr>
  </w:style>
  <w:style w:type="character" w:customStyle="1" w:styleId="FootnoteTextChar">
    <w:name w:val="Footnote Text Char"/>
    <w:aliases w:val="fn Char,Footnote Text Char Char Char Char,Footnote Text Char Char Char1,Fußnote Char,Car Car Char,Footnote Text Char Char1 Char,Footnote Text Char1 Char Char Char,Footnote Text Char Char1 Char Char Char, Car Car Char,single space Char"/>
    <w:basedOn w:val="DefaultParagraphFont"/>
    <w:link w:val="FootnoteText"/>
    <w:uiPriority w:val="99"/>
    <w:rsid w:val="008E40F6"/>
    <w:rPr>
      <w:kern w:val="0"/>
      <w:sz w:val="18"/>
      <w:szCs w:val="20"/>
      <w:lang w:val="en-GB"/>
      <w14:ligatures w14:val="none"/>
    </w:rPr>
  </w:style>
  <w:style w:type="character" w:styleId="FootnoteReference">
    <w:name w:val="footnote reference"/>
    <w:aliases w:val="BVI fnr,ftref,Footnote symbol,Footnote reference number,note TESI,Footnote,Footnote Reference Superscript,SUPERS,(Footnote Reference),EN Footnote Reference,Voetnootverwijzing,Times 10 Point,Exposant 3 Point,16 Point"/>
    <w:basedOn w:val="DefaultParagraphFont"/>
    <w:uiPriority w:val="99"/>
    <w:unhideWhenUsed/>
    <w:rsid w:val="008E40F6"/>
    <w:rPr>
      <w:rFonts w:asciiTheme="minorHAnsi" w:hAnsiTheme="minorHAnsi"/>
      <w:sz w:val="22"/>
      <w:vertAlign w:val="superscript"/>
    </w:rPr>
  </w:style>
  <w:style w:type="table" w:customStyle="1" w:styleId="OECD">
    <w:name w:val="OECD"/>
    <w:basedOn w:val="TableSimple1"/>
    <w:uiPriority w:val="99"/>
    <w:rsid w:val="008E40F6"/>
    <w:pPr>
      <w:widowControl/>
      <w:spacing w:before="10" w:after="20" w:line="200" w:lineRule="exact"/>
    </w:pPr>
    <w:rPr>
      <w:rFonts w:ascii="Arial Narrow" w:hAnsi="Arial Narrow"/>
      <w:kern w:val="0"/>
      <w:sz w:val="17"/>
      <w:szCs w:val="20"/>
      <w:lang w:eastAsia="en-GB"/>
      <w14:ligatures w14:val="none"/>
    </w:rPr>
    <w:tblPr>
      <w:tblBorders>
        <w:top w:val="single" w:sz="12" w:space="0" w:color="4472C4" w:themeColor="accent1"/>
        <w:bottom w:val="single" w:sz="12" w:space="0" w:color="4472C4"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4472C4"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8E40F6"/>
    <w:pPr>
      <w:widowControl w:val="0"/>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12331</Words>
  <Characters>71275</Characters>
  <Application>Microsoft Office Word</Application>
  <DocSecurity>0</DocSecurity>
  <Lines>1370</Lines>
  <Paragraphs>898</Paragraphs>
  <ScaleCrop>false</ScaleCrop>
  <Company/>
  <LinksUpToDate>false</LinksUpToDate>
  <CharactersWithSpaces>82708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Rahić</dc:creator>
  <cp:keywords/>
  <dc:description/>
  <cp:lastModifiedBy>Tarik Rahić</cp:lastModifiedBy>
  <cp:revision>2</cp:revision>
  <dcterms:created xsi:type="dcterms:W3CDTF">2025-12-26T10:48:00Z</dcterms:created>
  <dcterms:modified xsi:type="dcterms:W3CDTF">2025-12-26T11:15:00Z</dcterms:modified>
</cp:coreProperties>
</file>